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6"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56FA9730">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bookmarkStart w:id="0" w:name="OLE_LINK1"/>
      <w:r>
        <w:rPr>
          <w:rFonts w:hint="eastAsia" w:ascii="方正小标宋简体" w:hAnsi="方正小标宋简体" w:eastAsia="方正小标宋简体" w:cs="方正小标宋简体"/>
          <w:color w:val="auto"/>
          <w:sz w:val="52"/>
          <w:szCs w:val="52"/>
          <w:highlight w:val="none"/>
          <w:lang w:val="en-US" w:eastAsia="zh-CN"/>
        </w:rPr>
        <w:t>2024年自治区人身意外伤害保险补助资金巴财社【2023】79号项目支出</w:t>
      </w: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绩效评价报告</w:t>
      </w:r>
    </w:p>
    <w:bookmarkEnd w:id="0"/>
    <w:p w14:paraId="1AFE764A">
      <w:pPr>
        <w:pStyle w:val="6"/>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rPr>
          <w:rFonts w:ascii="黑体" w:eastAsia="黑体"/>
          <w:color w:val="auto"/>
          <w:sz w:val="30"/>
          <w:szCs w:val="30"/>
          <w:highlight w:val="none"/>
        </w:rPr>
      </w:pPr>
      <w:r>
        <w:rPr>
          <w:rFonts w:hint="eastAsia" w:ascii="黑体" w:eastAsia="黑体"/>
          <w:color w:val="auto"/>
          <w:sz w:val="30"/>
          <w:szCs w:val="30"/>
          <w:highlight w:val="none"/>
        </w:rPr>
        <w:t>项目名称：2024年自治区人身意外伤害保险补助资金巴财社【2023】79号</w:t>
      </w:r>
    </w:p>
    <w:p w14:paraId="7A68784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实施单位（公章）：和静县医疗保障局</w:t>
      </w:r>
    </w:p>
    <w:p w14:paraId="23C5056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包志敏</w:t>
      </w:r>
    </w:p>
    <w:p w14:paraId="529EBC49">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keepNext w:val="0"/>
        <w:pageBreakBefore w:val="0"/>
        <w:widowControl w:val="0"/>
        <w:kinsoku/>
        <w:wordWrap/>
        <w:overflowPunct/>
        <w:topLinePunct w:val="0"/>
        <w:autoSpaceDE/>
        <w:autoSpaceDN/>
        <w:bidi w:val="0"/>
        <w:ind w:firstLine="0" w:firstLineChars="0"/>
        <w:jc w:val="center"/>
        <w:textAlignment w:val="auto"/>
        <w:rPr>
          <w:b/>
          <w:bCs/>
          <w:color w:val="auto"/>
          <w:sz w:val="32"/>
          <w:szCs w:val="28"/>
          <w:highlight w:val="none"/>
        </w:rPr>
      </w:pPr>
      <w:r>
        <w:rPr>
          <w:rFonts w:hint="eastAsia"/>
          <w:b/>
          <w:bCs/>
          <w:color w:val="auto"/>
          <w:sz w:val="32"/>
          <w:szCs w:val="28"/>
          <w:highlight w:val="none"/>
        </w:rPr>
        <w:t>2024年自治区人身意外伤害保险补助资金巴财社【2023】79号项目支出绩效评价报告</w:t>
      </w:r>
    </w:p>
    <w:p w14:paraId="626B66D3">
      <w:pPr>
        <w:pStyle w:val="4"/>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一、基本情况</w:t>
      </w:r>
    </w:p>
    <w:p w14:paraId="7540DEFA">
      <w:pPr>
        <w:pStyle w:val="5"/>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（一）项目概况</w:t>
      </w:r>
    </w:p>
    <w:p w14:paraId="2723E427">
      <w:pPr>
        <w:pStyle w:val="6"/>
        <w:keepNext w:val="0"/>
        <w:pageBreakBefore w:val="0"/>
        <w:widowControl w:val="0"/>
        <w:kinsoku/>
        <w:wordWrap/>
        <w:overflowPunct/>
        <w:topLinePunct w:val="0"/>
        <w:autoSpaceDE/>
        <w:autoSpaceDN/>
        <w:bidi w:val="0"/>
        <w:adjustRightInd/>
        <w:snapToGrid/>
        <w:spacing w:beforeAutospacing="0" w:afterAutospacing="0"/>
        <w:ind w:firstLine="562"/>
        <w:textAlignment w:val="auto"/>
        <w:rPr>
          <w:color w:val="auto"/>
          <w:highlight w:val="none"/>
        </w:rPr>
      </w:pPr>
      <w:r>
        <w:rPr>
          <w:rFonts w:hint="eastAsia"/>
          <w:color w:val="auto"/>
          <w:highlight w:val="none"/>
        </w:rPr>
        <w:t>1.项目背景</w:t>
      </w:r>
    </w:p>
    <w:p w14:paraId="5B0216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firstLine="560" w:firstLineChars="200"/>
        <w:jc w:val="left"/>
        <w:textAlignment w:val="auto"/>
        <w:rPr>
          <w:color w:val="auto"/>
          <w:highlight w:val="none"/>
        </w:rPr>
      </w:pPr>
      <w:r>
        <w:rPr>
          <w:rFonts w:hint="eastAsia" w:ascii="仿宋_GB2312" w:hAnsi="仿宋_GB2312" w:eastAsia="仿宋_GB2312" w:cs="Times New Roman"/>
          <w:color w:val="auto"/>
          <w:kern w:val="2"/>
          <w:sz w:val="28"/>
          <w:szCs w:val="24"/>
          <w:highlight w:val="none"/>
          <w:lang w:val="en-US" w:eastAsia="zh-CN" w:bidi="ar-SA"/>
        </w:rPr>
        <w:t>2016年10月，为贯彻落实自治区党委关于社保惠民的决策部署，进一步完善社会保障体</w:t>
      </w:r>
      <w:r>
        <w:rPr>
          <w:rFonts w:hint="eastAsia"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en-US" w:eastAsia="zh-CN" w:bidi="ar-SA"/>
        </w:rPr>
        <w:t>自治区全面实施了人身意外伤害保险。人身意外伤害保险的筹资标准的调整，由自治区人力资源社会保障厅、自治区财政厅根据经济社会发展和人身意外伤害保险运行情况提出调整方案，报自治区人民政府批准后执行。自治区人身意外伤害保险是对被保险人在新疆境内发生意外身故、残疾和住院医疗等给予补偿，降低人身意外伤害风险，有效减轻了意外伤害群众的精神痛苦和经济负担，产生了良好的社会效应，实现新疆社会稳定和长治久安总目标的重要举措。</w:t>
      </w:r>
    </w:p>
    <w:p w14:paraId="50477A49">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2.主要内容</w:t>
      </w:r>
    </w:p>
    <w:p w14:paraId="357C01E7">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项目名称：2024年自治区人身意外伤害保险补助资金巴财社【2023】79号。</w:t>
      </w:r>
    </w:p>
    <w:p w14:paraId="58A21DA6">
      <w:pPr>
        <w:keepNext w:val="0"/>
        <w:pageBreakBefore w:val="0"/>
        <w:widowControl w:val="0"/>
        <w:kinsoku/>
        <w:wordWrap/>
        <w:overflowPunct/>
        <w:topLinePunct w:val="0"/>
        <w:autoSpaceDE/>
        <w:autoSpaceDN/>
        <w:bidi w:val="0"/>
        <w:ind w:firstLine="560"/>
        <w:textAlignment w:val="auto"/>
        <w:rPr>
          <w:rFonts w:hint="default" w:ascii="仿宋_GB2312" w:hAnsi="仿宋_GB2312" w:eastAsia="仿宋_GB2312" w:cs="Times New Roman"/>
          <w:color w:val="auto"/>
          <w:kern w:val="2"/>
          <w:sz w:val="28"/>
          <w:szCs w:val="24"/>
          <w:highlight w:val="none"/>
          <w:lang w:val="en-US" w:eastAsia="zh-CN" w:bidi="ar-SA"/>
        </w:rPr>
      </w:pPr>
      <w:r>
        <w:rPr>
          <w:rFonts w:hint="eastAsia"/>
          <w:color w:val="auto"/>
          <w:sz w:val="28"/>
          <w:szCs w:val="28"/>
          <w:highlight w:val="none"/>
          <w:lang w:val="en-US" w:eastAsia="zh-CN"/>
        </w:rPr>
        <w:t>项目主要内容：</w:t>
      </w:r>
      <w:r>
        <w:rPr>
          <w:rFonts w:hint="default" w:ascii="仿宋_GB2312" w:hAnsi="仿宋_GB2312" w:eastAsia="仿宋_GB2312" w:cs="Times New Roman"/>
          <w:color w:val="auto"/>
          <w:kern w:val="2"/>
          <w:sz w:val="28"/>
          <w:szCs w:val="24"/>
          <w:highlight w:val="none"/>
          <w:lang w:val="en-US" w:eastAsia="zh-CN" w:bidi="ar-SA"/>
        </w:rPr>
        <w:t>人身意外伤害保险资金是指自治区各级财政通过公共财政预算安排，用于支持被保险人员(具有新疆户籍的居民、参加自治区城镇职工和城乡居民基本医疗保险的非新疆户籍居民和援疆工作人员，不包括兵团户籍人口)缴纳人身意外伤害保险费而设立的专项资金。各地州市财政部门要以各地社保经办部门核定的人数，按照筹资标准，足额落实人身意外伤害保险资金，建立资金保障机制。</w:t>
      </w:r>
    </w:p>
    <w:p w14:paraId="778F554F">
      <w:pPr>
        <w:pStyle w:val="6"/>
        <w:keepNext w:val="0"/>
        <w:pageBreakBefore w:val="0"/>
        <w:widowControl w:val="0"/>
        <w:kinsoku/>
        <w:wordWrap/>
        <w:overflowPunct/>
        <w:topLinePunct w:val="0"/>
        <w:autoSpaceDE/>
        <w:autoSpaceDN/>
        <w:bidi w:val="0"/>
        <w:ind w:firstLine="562"/>
        <w:jc w:val="left"/>
        <w:textAlignment w:val="auto"/>
        <w:rPr>
          <w:color w:val="auto"/>
          <w:highlight w:val="none"/>
        </w:rPr>
      </w:pPr>
      <w:r>
        <w:rPr>
          <w:rFonts w:hint="eastAsia"/>
          <w:color w:val="auto"/>
          <w:highlight w:val="none"/>
        </w:rPr>
        <w:t>3.实施情况</w:t>
      </w:r>
    </w:p>
    <w:p w14:paraId="630665D6">
      <w:pPr>
        <w:keepNext w:val="0"/>
        <w:pageBreakBefore w:val="0"/>
        <w:widowControl w:val="0"/>
        <w:kinsoku/>
        <w:wordWrap/>
        <w:overflowPunct/>
        <w:topLinePunct w:val="0"/>
        <w:autoSpaceDE/>
        <w:autoSpaceDN/>
        <w:bidi w:val="0"/>
        <w:ind w:firstLine="560"/>
        <w:jc w:val="left"/>
        <w:textAlignment w:val="auto"/>
        <w:rPr>
          <w:rFonts w:hint="eastAsia"/>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和静县医疗保障局</w:t>
      </w:r>
      <w:r>
        <w:rPr>
          <w:rFonts w:hint="eastAsia"/>
          <w:color w:val="auto"/>
          <w:highlight w:val="none"/>
        </w:rPr>
        <w:t>。</w:t>
      </w:r>
    </w:p>
    <w:p w14:paraId="6222D440">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color w:val="auto"/>
          <w:highlight w:val="none"/>
        </w:rPr>
        <w:t>实施时间：</w:t>
      </w:r>
      <w:r>
        <w:rPr>
          <w:rFonts w:hint="eastAsia"/>
          <w:color w:val="auto"/>
          <w:highlight w:val="none"/>
        </w:rPr>
        <w:t>本项目开始时间为</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12</w:t>
      </w:r>
      <w:r>
        <w:rPr>
          <w:rFonts w:hint="eastAsia"/>
          <w:color w:val="auto"/>
          <w:highlight w:val="none"/>
        </w:rPr>
        <w:t>月。</w:t>
      </w:r>
    </w:p>
    <w:p w14:paraId="39D56A37">
      <w:pPr>
        <w:keepNext w:val="0"/>
        <w:pageBreakBefore w:val="0"/>
        <w:widowControl w:val="0"/>
        <w:kinsoku/>
        <w:wordWrap/>
        <w:overflowPunct/>
        <w:topLinePunct w:val="0"/>
        <w:autoSpaceDE/>
        <w:autoSpaceDN/>
        <w:bidi w:val="0"/>
        <w:textAlignment w:val="auto"/>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CN"/>
        </w:rPr>
        <w:t>《</w:t>
      </w:r>
      <w:r>
        <w:rPr>
          <w:rFonts w:hint="eastAsia"/>
          <w:color w:val="auto"/>
          <w:highlight w:val="none"/>
        </w:rPr>
        <w:t>关于建立和实施人身意外伤害保险的通知</w:t>
      </w:r>
      <w:r>
        <w:rPr>
          <w:rFonts w:hint="eastAsia"/>
          <w:color w:val="auto"/>
          <w:highlight w:val="none"/>
          <w:lang w:eastAsia="zh-CN"/>
        </w:rPr>
        <w:t>》</w:t>
      </w:r>
      <w:r>
        <w:rPr>
          <w:rFonts w:hint="eastAsia"/>
          <w:color w:val="auto"/>
          <w:highlight w:val="none"/>
        </w:rPr>
        <w:t>新人社发〔2016)140号</w:t>
      </w:r>
      <w:r>
        <w:rPr>
          <w:rFonts w:hint="eastAsia"/>
          <w:color w:val="auto"/>
          <w:highlight w:val="none"/>
          <w:lang w:val="en-US" w:eastAsia="zh-CN"/>
        </w:rPr>
        <w:t>要求</w:t>
      </w:r>
      <w:r>
        <w:rPr>
          <w:rFonts w:hint="eastAsia"/>
          <w:color w:val="auto"/>
          <w:highlight w:val="none"/>
        </w:rPr>
        <w:t>，实际已保障了</w:t>
      </w:r>
      <w:r>
        <w:rPr>
          <w:rFonts w:hint="eastAsia"/>
          <w:color w:val="auto"/>
          <w:highlight w:val="none"/>
          <w:lang w:val="en-US" w:eastAsia="zh-CN"/>
        </w:rPr>
        <w:t>和静县人身意外伤害保险131367名人员参保</w:t>
      </w:r>
      <w:r>
        <w:rPr>
          <w:rFonts w:hint="eastAsia"/>
          <w:color w:val="auto"/>
          <w:highlight w:val="none"/>
        </w:rPr>
        <w:t>，对</w:t>
      </w:r>
      <w:r>
        <w:rPr>
          <w:rFonts w:hint="eastAsia"/>
          <w:color w:val="auto"/>
          <w:highlight w:val="none"/>
          <w:lang w:val="en-US" w:eastAsia="zh-CN"/>
        </w:rPr>
        <w:t>参保人员</w:t>
      </w:r>
      <w:r>
        <w:rPr>
          <w:rFonts w:hint="eastAsia"/>
          <w:color w:val="auto"/>
          <w:highlight w:val="none"/>
        </w:rPr>
        <w:t>发生意外身故、残疾和住院医疗等的补偿；是降低人身意外伤害风险，促进家庭和社会安定和诺，实施社保惠民工程，完善医疗保险制度的一项重要举措。</w:t>
      </w:r>
    </w:p>
    <w:p w14:paraId="5829E5B7">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4.资金投入和使用情况</w:t>
      </w:r>
    </w:p>
    <w:p w14:paraId="695661F3">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（1）项目资金安排落实、总投入等情况分析</w:t>
      </w:r>
    </w:p>
    <w:p w14:paraId="289C34BD">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94</w:t>
      </w:r>
      <w:r>
        <w:rPr>
          <w:rFonts w:hint="eastAsia"/>
          <w:color w:val="auto"/>
          <w:highlight w:val="none"/>
        </w:rPr>
        <w:t>万元，资金来源为</w:t>
      </w:r>
      <w:r>
        <w:rPr>
          <w:rFonts w:hint="eastAsia"/>
          <w:color w:val="auto"/>
          <w:highlight w:val="none"/>
          <w:lang w:eastAsia="zh-CN"/>
        </w:rPr>
        <w:t>县</w:t>
      </w:r>
      <w:r>
        <w:rPr>
          <w:rFonts w:hint="eastAsia"/>
          <w:color w:val="auto"/>
          <w:highlight w:val="none"/>
        </w:rPr>
        <w:t>本级部门预算，其中：财政资金</w:t>
      </w:r>
      <w:r>
        <w:rPr>
          <w:rFonts w:hint="eastAsia"/>
          <w:color w:val="auto"/>
          <w:highlight w:val="none"/>
          <w:lang w:val="en-US" w:eastAsia="zh-CN"/>
        </w:rPr>
        <w:t>94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rPr>
        <w:t>实际收到预算资金</w:t>
      </w:r>
      <w:r>
        <w:rPr>
          <w:rFonts w:hint="eastAsia"/>
          <w:color w:val="auto"/>
          <w:highlight w:val="none"/>
          <w:lang w:val="en-US" w:eastAsia="zh-CN"/>
        </w:rPr>
        <w:t>94</w:t>
      </w:r>
      <w:r>
        <w:rPr>
          <w:rFonts w:hint="eastAsia"/>
          <w:color w:val="auto"/>
          <w:highlight w:val="none"/>
        </w:rPr>
        <w:t>万元，预算资金到位率为</w:t>
      </w:r>
      <w:r>
        <w:rPr>
          <w:rFonts w:hint="eastAsia"/>
          <w:color w:val="auto"/>
          <w:highlight w:val="none"/>
          <w:lang w:val="en-US" w:eastAsia="zh-CN"/>
        </w:rPr>
        <w:t>100</w:t>
      </w:r>
      <w:r>
        <w:rPr>
          <w:rFonts w:hint="eastAsia"/>
          <w:color w:val="auto"/>
          <w:highlight w:val="none"/>
        </w:rPr>
        <w:t xml:space="preserve"> %。</w:t>
      </w:r>
    </w:p>
    <w:p w14:paraId="713CC0A7">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（2）项目资金实际使用情况分析</w:t>
      </w:r>
    </w:p>
    <w:p w14:paraId="0FEC7ACF">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截至2024年12月31日，本项目实际支出94万元</w:t>
      </w:r>
      <w:r>
        <w:rPr>
          <w:rFonts w:hint="eastAsia"/>
          <w:color w:val="auto"/>
          <w:highlight w:val="none"/>
        </w:rPr>
        <w:t>，</w:t>
      </w:r>
      <w:r>
        <w:rPr>
          <w:rFonts w:hint="eastAsia"/>
          <w:color w:val="auto"/>
          <w:highlight w:val="none"/>
          <w:lang w:val="en-US" w:eastAsia="zh-CN"/>
        </w:rPr>
        <w:t>预算执行率100%。本项目资金主要用于支付2024年自治区人身意外伤害保险补助资金县级配套94万元，参保人数131367人，意外伤害保险县级配套补助标准7.16元/人/年。</w:t>
      </w:r>
    </w:p>
    <w:p w14:paraId="47FCFAD7">
      <w:pPr>
        <w:pStyle w:val="5"/>
        <w:keepNext w:val="0"/>
        <w:pageBreakBefore w:val="0"/>
        <w:widowControl w:val="0"/>
        <w:numPr>
          <w:ilvl w:val="0"/>
          <w:numId w:val="2"/>
        </w:numPr>
        <w:kinsoku/>
        <w:wordWrap/>
        <w:overflowPunct/>
        <w:topLinePunct w:val="0"/>
        <w:autoSpaceDE/>
        <w:autoSpaceDN/>
        <w:bidi w:val="0"/>
        <w:ind w:firstLine="643"/>
        <w:textAlignment w:val="auto"/>
        <w:rPr>
          <w:color w:val="auto"/>
          <w:highlight w:val="none"/>
        </w:rPr>
      </w:pPr>
      <w:r>
        <w:rPr>
          <w:rFonts w:hint="eastAsia"/>
          <w:color w:val="auto"/>
          <w:highlight w:val="none"/>
        </w:rPr>
        <w:t>项目绩效目标</w:t>
      </w:r>
    </w:p>
    <w:p w14:paraId="0BD74BCF">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1.总体目标</w:t>
      </w:r>
    </w:p>
    <w:p w14:paraId="676AEE77">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 xml:space="preserve">目标1：保障188000人身意外伤害保险参保人员县级配套资金及时归集，参保率达到100%。目标2：保障被保险人发生意外身故、残疾和住院医疗等的补偿,减轻人身意外伤害保险对象经济负担，促进家庭和社会安定和诺。  </w:t>
      </w:r>
    </w:p>
    <w:p w14:paraId="6C3FC54A">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2.阶段性目标</w:t>
      </w:r>
    </w:p>
    <w:p w14:paraId="0BF2B797">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keepNext w:val="0"/>
        <w:pageBreakBefore w:val="0"/>
        <w:widowControl w:val="0"/>
        <w:kinsoku/>
        <w:wordWrap/>
        <w:overflowPunct/>
        <w:topLinePunct w:val="0"/>
        <w:autoSpaceDE/>
        <w:autoSpaceDN/>
        <w:bidi w:val="0"/>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①数量指标</w:t>
      </w:r>
    </w:p>
    <w:p w14:paraId="5C7E73F8">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lang w:val="en-US" w:eastAsia="zh-CN"/>
        </w:rPr>
        <w:t>“参保人数”指标，预期指标值为&gt;=188000人。</w:t>
      </w:r>
    </w:p>
    <w:p w14:paraId="69B69EB0">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②质量指标</w:t>
      </w:r>
    </w:p>
    <w:p w14:paraId="098C5958">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“参保覆盖率”指标，预期指标值为&gt;=100%。</w:t>
      </w:r>
    </w:p>
    <w:p w14:paraId="5C71E3A0">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“人身意外伤害保险县级补助资金发放足额率”指标，预期指标值为&gt;=100%。</w:t>
      </w:r>
    </w:p>
    <w:p w14:paraId="02407E54">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“保险报销及时率”指标，预期指标值为</w:t>
      </w:r>
      <w:r>
        <w:rPr>
          <w:rFonts w:hint="eastAsia"/>
          <w:color w:val="auto"/>
          <w:highlight w:val="none"/>
          <w:lang w:val="en-US" w:eastAsia="zh-CN"/>
        </w:rPr>
        <w:t>&gt;=100%。</w:t>
      </w:r>
    </w:p>
    <w:p w14:paraId="2ABF9EB4">
      <w:pPr>
        <w:keepNext w:val="0"/>
        <w:pageBreakBefore w:val="0"/>
        <w:widowControl w:val="0"/>
        <w:kinsoku/>
        <w:wordWrap/>
        <w:overflowPunct/>
        <w:topLinePunct w:val="0"/>
        <w:autoSpaceDE/>
        <w:autoSpaceDN/>
        <w:bidi w:val="0"/>
        <w:ind w:firstLine="560"/>
        <w:textAlignment w:val="auto"/>
        <w:rPr>
          <w:rFonts w:hint="eastAsia"/>
          <w:color w:val="auto"/>
          <w:highlight w:val="none"/>
          <w:lang w:eastAsia="zh-CN"/>
        </w:rPr>
      </w:pPr>
      <w:r>
        <w:rPr>
          <w:rFonts w:hint="eastAsia"/>
          <w:color w:val="auto"/>
          <w:highlight w:val="none"/>
        </w:rPr>
        <w:t>“资金支付及时率”指标，预期指标值为</w:t>
      </w:r>
      <w:r>
        <w:rPr>
          <w:rFonts w:hint="eastAsia"/>
          <w:color w:val="auto"/>
          <w:highlight w:val="none"/>
          <w:lang w:val="en-US" w:eastAsia="zh-CN"/>
        </w:rPr>
        <w:t>&gt;=100</w:t>
      </w:r>
      <w:r>
        <w:rPr>
          <w:rFonts w:hint="eastAsia"/>
          <w:color w:val="auto"/>
          <w:highlight w:val="none"/>
          <w:lang w:eastAsia="zh-CN"/>
        </w:rPr>
        <w:t>。</w:t>
      </w:r>
    </w:p>
    <w:p w14:paraId="22988A05">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④成本指标</w:t>
      </w:r>
    </w:p>
    <w:p w14:paraId="25A93B99">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“意外伤害保险县级配套补助标准”指标，预期指标值为5元/人/年；</w:t>
      </w:r>
    </w:p>
    <w:p w14:paraId="35BDF705">
      <w:pPr>
        <w:keepNext w:val="0"/>
        <w:pageBreakBefore w:val="0"/>
        <w:widowControl w:val="0"/>
        <w:kinsoku/>
        <w:wordWrap/>
        <w:overflowPunct/>
        <w:topLinePunct w:val="0"/>
        <w:autoSpaceDE/>
        <w:autoSpaceDN/>
        <w:bidi w:val="0"/>
        <w:ind w:firstLine="560"/>
        <w:textAlignment w:val="auto"/>
        <w:rPr>
          <w:rFonts w:hint="eastAsia"/>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①经济效益指标</w:t>
      </w:r>
    </w:p>
    <w:p w14:paraId="7F4ECC0B">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lang w:val="en-US" w:eastAsia="zh-CN"/>
        </w:rPr>
        <w:t>无</w:t>
      </w:r>
      <w:r>
        <w:rPr>
          <w:rFonts w:hint="eastAsia"/>
          <w:color w:val="auto"/>
          <w:highlight w:val="none"/>
        </w:rPr>
        <w:t>；</w:t>
      </w:r>
    </w:p>
    <w:p w14:paraId="6261B2DC">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②社会效益指标</w:t>
      </w:r>
    </w:p>
    <w:p w14:paraId="45BF5EC6">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“政策知晓率”指标，预期指标值为&gt;=90%；</w:t>
      </w:r>
    </w:p>
    <w:p w14:paraId="5C1F409E">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“减轻参保人员就医经济负担，缓解社会矛盾”指标，预期指标值为有效提升；</w:t>
      </w:r>
    </w:p>
    <w:p w14:paraId="56AD7A80">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③生态效益指标</w:t>
      </w:r>
    </w:p>
    <w:p w14:paraId="3C668A81">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无</w:t>
      </w:r>
    </w:p>
    <w:p w14:paraId="0B256DA2">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④可持续影响</w:t>
      </w:r>
    </w:p>
    <w:p w14:paraId="7C767A21">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rFonts w:hint="eastAsia"/>
          <w:color w:val="auto"/>
          <w:highlight w:val="none"/>
          <w:lang w:val="en-US" w:eastAsia="zh-CN"/>
        </w:rPr>
        <w:t>无</w:t>
      </w:r>
    </w:p>
    <w:p w14:paraId="3C3A4FF7">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lang w:val="en-US" w:eastAsia="zh-CN"/>
        </w:rPr>
        <w:t>⑤</w:t>
      </w:r>
      <w:r>
        <w:rPr>
          <w:rFonts w:hint="eastAsia"/>
          <w:color w:val="auto"/>
          <w:highlight w:val="none"/>
        </w:rPr>
        <w:t>满意度指标</w:t>
      </w:r>
    </w:p>
    <w:p w14:paraId="532FD7FD">
      <w:pPr>
        <w:keepNext w:val="0"/>
        <w:pageBreakBefore w:val="0"/>
        <w:widowControl w:val="0"/>
        <w:kinsoku/>
        <w:wordWrap/>
        <w:overflowPunct/>
        <w:topLinePunct w:val="0"/>
        <w:autoSpaceDE/>
        <w:autoSpaceDN/>
        <w:bidi w:val="0"/>
        <w:ind w:firstLine="560"/>
        <w:textAlignment w:val="auto"/>
        <w:rPr>
          <w:rFonts w:hint="eastAsia" w:eastAsia="仿宋_GB2312"/>
          <w:color w:val="auto"/>
          <w:highlight w:val="none"/>
          <w:lang w:eastAsia="zh-CN"/>
        </w:rPr>
      </w:pPr>
      <w:r>
        <w:rPr>
          <w:rFonts w:hint="eastAsia"/>
          <w:color w:val="auto"/>
          <w:highlight w:val="none"/>
        </w:rPr>
        <w:t>“参保人员满意程度”指标，预期指标值为&gt;=90%</w:t>
      </w:r>
      <w:r>
        <w:rPr>
          <w:rFonts w:hint="eastAsia"/>
          <w:color w:val="auto"/>
          <w:highlight w:val="none"/>
          <w:lang w:eastAsia="zh-CN"/>
        </w:rPr>
        <w:t>。</w:t>
      </w:r>
    </w:p>
    <w:p w14:paraId="073106F9">
      <w:pPr>
        <w:pStyle w:val="4"/>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二、绩效评价工作开展情况</w:t>
      </w:r>
    </w:p>
    <w:p w14:paraId="3A61E666">
      <w:pPr>
        <w:pStyle w:val="5"/>
        <w:keepNext w:val="0"/>
        <w:pageBreakBefore w:val="0"/>
        <w:widowControl w:val="0"/>
        <w:kinsoku/>
        <w:wordWrap/>
        <w:overflowPunct/>
        <w:topLinePunct w:val="0"/>
        <w:autoSpaceDE/>
        <w:autoSpaceDN/>
        <w:bidi w:val="0"/>
        <w:ind w:firstLine="643"/>
        <w:textAlignment w:val="auto"/>
        <w:rPr>
          <w:color w:val="auto"/>
          <w:highlight w:val="none"/>
        </w:rPr>
      </w:pPr>
      <w:bookmarkStart w:id="1" w:name="_Toc5258"/>
      <w:bookmarkStart w:id="2" w:name="_Toc480473081"/>
      <w:bookmarkStart w:id="3" w:name="_Toc12868"/>
      <w:bookmarkStart w:id="4" w:name="_Toc22922"/>
      <w:bookmarkStart w:id="5" w:name="_Toc22169_WPSOffice_Level2"/>
      <w:bookmarkStart w:id="6" w:name="_Toc5462343"/>
      <w:bookmarkStart w:id="7" w:name="_Toc26632"/>
      <w:bookmarkStart w:id="8" w:name="_Toc21664"/>
      <w:r>
        <w:rPr>
          <w:rFonts w:hint="eastAsia"/>
          <w:color w:val="auto"/>
          <w:highlight w:val="none"/>
        </w:rPr>
        <w:t>（一）绩效评价的目的</w:t>
      </w:r>
      <w:bookmarkEnd w:id="1"/>
      <w:bookmarkEnd w:id="2"/>
      <w:bookmarkEnd w:id="3"/>
      <w:bookmarkEnd w:id="4"/>
      <w:bookmarkEnd w:id="5"/>
      <w:bookmarkEnd w:id="6"/>
      <w:bookmarkEnd w:id="7"/>
      <w:bookmarkEnd w:id="8"/>
      <w:r>
        <w:rPr>
          <w:rFonts w:hint="eastAsia"/>
          <w:color w:val="auto"/>
          <w:highlight w:val="none"/>
        </w:rPr>
        <w:t>、对象和范围</w:t>
      </w:r>
    </w:p>
    <w:p w14:paraId="6537B52D">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2024年自治区人身意外伤害保险补助资金巴财社【2023】79号</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2.绩效评价对象</w:t>
      </w:r>
    </w:p>
    <w:p w14:paraId="2F882AB8">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2024年自治区人身意外伤害保险补助资金巴财社【2023】79号</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3.绩效评价范围</w:t>
      </w:r>
    </w:p>
    <w:p w14:paraId="32C6B343">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5"/>
        <w:keepNext w:val="0"/>
        <w:pageBreakBefore w:val="0"/>
        <w:widowControl w:val="0"/>
        <w:kinsoku/>
        <w:wordWrap/>
        <w:overflowPunct/>
        <w:topLinePunct w:val="0"/>
        <w:autoSpaceDE/>
        <w:autoSpaceDN/>
        <w:bidi w:val="0"/>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1.绩效评价原则</w:t>
      </w:r>
    </w:p>
    <w:p w14:paraId="1C87FC8C">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keepNext w:val="0"/>
        <w:pageBreakBefore w:val="0"/>
        <w:widowControl w:val="0"/>
        <w:kinsoku/>
        <w:wordWrap/>
        <w:overflowPunct/>
        <w:topLinePunct w:val="0"/>
        <w:autoSpaceDE/>
        <w:autoSpaceDN/>
        <w:bidi w:val="0"/>
        <w:ind w:firstLine="560"/>
        <w:textAlignment w:val="auto"/>
        <w:rPr>
          <w:color w:val="auto"/>
          <w:highlight w:val="none"/>
        </w:rPr>
      </w:pPr>
      <w:bookmarkStart w:id="9" w:name="_Toc419984722"/>
      <w:bookmarkStart w:id="10" w:name="_Toc1913"/>
      <w:bookmarkStart w:id="11" w:name="_Toc26131"/>
      <w:bookmarkStart w:id="12" w:name="_Toc428278230"/>
      <w:r>
        <w:rPr>
          <w:rFonts w:hint="eastAsia"/>
          <w:color w:val="auto"/>
          <w:highlight w:val="none"/>
        </w:rPr>
        <w:t>（1）科学公正。绩效评价应当运用科学合理的方法，按照规范的程序，对项目绩效进行客观、公正的反映。</w:t>
      </w:r>
    </w:p>
    <w:p w14:paraId="01E9D681">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76774D3E">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keepNext w:val="0"/>
        <w:pageBreakBefore w:val="0"/>
        <w:widowControl w:val="0"/>
        <w:kinsoku/>
        <w:wordWrap/>
        <w:overflowPunct/>
        <w:topLinePunct w:val="0"/>
        <w:autoSpaceDE/>
        <w:autoSpaceDN/>
        <w:bidi w:val="0"/>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2.绩效评价指标体系</w:t>
      </w:r>
      <w:bookmarkEnd w:id="9"/>
      <w:bookmarkEnd w:id="10"/>
      <w:bookmarkEnd w:id="11"/>
      <w:bookmarkEnd w:id="12"/>
    </w:p>
    <w:p w14:paraId="20AC01FD">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3.评价方法</w:t>
      </w:r>
    </w:p>
    <w:p w14:paraId="6AA3DFBF">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keepNext w:val="0"/>
        <w:pageBreakBefore w:val="0"/>
        <w:widowControl w:val="0"/>
        <w:kinsoku/>
        <w:wordWrap/>
        <w:overflowPunct/>
        <w:topLinePunct w:val="0"/>
        <w:autoSpaceDE/>
        <w:autoSpaceDN/>
        <w:bidi w:val="0"/>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keepNext w:val="0"/>
        <w:pageBreakBefore w:val="0"/>
        <w:widowControl w:val="0"/>
        <w:kinsoku/>
        <w:wordWrap/>
        <w:overflowPunct/>
        <w:topLinePunct w:val="0"/>
        <w:autoSpaceDE/>
        <w:autoSpaceDN/>
        <w:bidi w:val="0"/>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4.评价标准</w:t>
      </w:r>
    </w:p>
    <w:p w14:paraId="7F16DFA0">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5"/>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（三）绩效评价工作过程</w:t>
      </w:r>
    </w:p>
    <w:p w14:paraId="4BE01889">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1.前期准备</w:t>
      </w:r>
    </w:p>
    <w:p w14:paraId="3A62508D">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A6FC44F">
      <w:pPr>
        <w:keepNext w:val="0"/>
        <w:pageBreakBefore w:val="0"/>
        <w:widowControl w:val="0"/>
        <w:kinsoku/>
        <w:wordWrap/>
        <w:overflowPunct/>
        <w:topLinePunct w:val="0"/>
        <w:autoSpaceDE/>
        <w:autoSpaceDN/>
        <w:bidi w:val="0"/>
        <w:ind w:firstLine="560"/>
        <w:textAlignment w:val="auto"/>
        <w:rPr>
          <w:rFonts w:hint="eastAsia"/>
          <w:color w:val="auto"/>
          <w:highlight w:val="none"/>
          <w:lang w:eastAsia="zh-CN"/>
        </w:rPr>
      </w:pPr>
      <w:r>
        <w:rPr>
          <w:rFonts w:hint="eastAsia"/>
          <w:color w:val="auto"/>
          <w:highlight w:val="none"/>
          <w:lang w:val="en-US" w:eastAsia="zh-CN"/>
        </w:rPr>
        <w:t>包志敏</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eastAsia="zh-CN"/>
        </w:rPr>
        <w:t>；</w:t>
      </w:r>
    </w:p>
    <w:p w14:paraId="6DB34FC5">
      <w:pPr>
        <w:keepNext w:val="0"/>
        <w:pageBreakBefore w:val="0"/>
        <w:widowControl w:val="0"/>
        <w:kinsoku/>
        <w:wordWrap/>
        <w:overflowPunct/>
        <w:topLinePunct w:val="0"/>
        <w:autoSpaceDE/>
        <w:autoSpaceDN/>
        <w:bidi w:val="0"/>
        <w:ind w:firstLine="560"/>
        <w:textAlignment w:val="auto"/>
        <w:rPr>
          <w:rFonts w:hint="eastAsia"/>
          <w:color w:val="auto"/>
          <w:highlight w:val="none"/>
          <w:lang w:eastAsia="zh-CN"/>
        </w:rPr>
      </w:pPr>
      <w:r>
        <w:rPr>
          <w:rFonts w:hint="eastAsia"/>
          <w:color w:val="auto"/>
          <w:highlight w:val="none"/>
          <w:lang w:val="en-US" w:eastAsia="zh-CN"/>
        </w:rPr>
        <w:t>徐诤</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lang w:eastAsia="zh-CN"/>
        </w:rPr>
        <w:t>。</w:t>
      </w:r>
    </w:p>
    <w:p w14:paraId="072FA9F6">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2.组织实施</w:t>
      </w:r>
    </w:p>
    <w:p w14:paraId="72880729">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3.分析评价</w:t>
      </w:r>
    </w:p>
    <w:p w14:paraId="38C4A2B3">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6"/>
        <w:keepNext w:val="0"/>
        <w:pageBreakBefore w:val="0"/>
        <w:widowControl w:val="0"/>
        <w:kinsoku/>
        <w:wordWrap/>
        <w:overflowPunct/>
        <w:topLinePunct w:val="0"/>
        <w:autoSpaceDE/>
        <w:autoSpaceDN/>
        <w:bidi w:val="0"/>
        <w:ind w:firstLine="562"/>
        <w:textAlignment w:val="auto"/>
        <w:rPr>
          <w:rFonts w:hint="eastAsia"/>
          <w:color w:val="auto"/>
          <w:highlight w:val="none"/>
        </w:rPr>
      </w:pPr>
      <w:r>
        <w:rPr>
          <w:rFonts w:hint="eastAsia"/>
          <w:color w:val="auto"/>
          <w:highlight w:val="none"/>
        </w:rPr>
        <w:t>4.撰写与提交评价报告</w:t>
      </w:r>
    </w:p>
    <w:p w14:paraId="5C6972F1">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6"/>
        <w:keepNext w:val="0"/>
        <w:pageBreakBefore w:val="0"/>
        <w:widowControl w:val="0"/>
        <w:kinsoku/>
        <w:wordWrap/>
        <w:overflowPunct/>
        <w:topLinePunct w:val="0"/>
        <w:autoSpaceDE/>
        <w:autoSpaceDN/>
        <w:bidi w:val="0"/>
        <w:ind w:firstLine="562"/>
        <w:textAlignment w:val="auto"/>
        <w:rPr>
          <w:rFonts w:hint="eastAsia"/>
          <w:color w:val="auto"/>
          <w:highlight w:val="none"/>
        </w:rPr>
      </w:pPr>
      <w:r>
        <w:rPr>
          <w:rFonts w:hint="eastAsia"/>
          <w:color w:val="auto"/>
          <w:highlight w:val="none"/>
        </w:rPr>
        <w:t>5.问题整改</w:t>
      </w:r>
    </w:p>
    <w:p w14:paraId="101A3324">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6"/>
        <w:keepNext w:val="0"/>
        <w:pageBreakBefore w:val="0"/>
        <w:widowControl w:val="0"/>
        <w:kinsoku/>
        <w:wordWrap/>
        <w:overflowPunct/>
        <w:topLinePunct w:val="0"/>
        <w:autoSpaceDE/>
        <w:autoSpaceDN/>
        <w:bidi w:val="0"/>
        <w:ind w:firstLine="562"/>
        <w:textAlignment w:val="auto"/>
        <w:rPr>
          <w:rFonts w:hint="eastAsia"/>
          <w:color w:val="auto"/>
          <w:highlight w:val="none"/>
        </w:rPr>
      </w:pPr>
      <w:r>
        <w:rPr>
          <w:rFonts w:hint="eastAsia"/>
          <w:color w:val="auto"/>
          <w:highlight w:val="none"/>
        </w:rPr>
        <w:t>6.档案整理</w:t>
      </w:r>
    </w:p>
    <w:p w14:paraId="74FFF42C">
      <w:pPr>
        <w:keepNext w:val="0"/>
        <w:pageBreakBefore w:val="0"/>
        <w:widowControl w:val="0"/>
        <w:kinsoku/>
        <w:wordWrap/>
        <w:overflowPunct/>
        <w:topLinePunct w:val="0"/>
        <w:autoSpaceDE/>
        <w:autoSpaceDN/>
        <w:bidi w:val="0"/>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4"/>
        <w:keepNext w:val="0"/>
        <w:pageBreakBefore w:val="0"/>
        <w:widowControl w:val="0"/>
        <w:numPr>
          <w:ilvl w:val="0"/>
          <w:numId w:val="3"/>
        </w:numPr>
        <w:kinsoku/>
        <w:wordWrap/>
        <w:overflowPunct/>
        <w:topLinePunct w:val="0"/>
        <w:autoSpaceDE/>
        <w:autoSpaceDN/>
        <w:bidi w:val="0"/>
        <w:ind w:firstLine="643"/>
        <w:textAlignment w:val="auto"/>
        <w:rPr>
          <w:color w:val="auto"/>
          <w:highlight w:val="none"/>
        </w:rPr>
      </w:pPr>
      <w:r>
        <w:rPr>
          <w:rFonts w:hint="eastAsia"/>
          <w:color w:val="auto"/>
          <w:highlight w:val="none"/>
        </w:rPr>
        <w:t>综合评价情况及评价结论</w:t>
      </w:r>
    </w:p>
    <w:p w14:paraId="707698E5">
      <w:pPr>
        <w:pStyle w:val="5"/>
        <w:keepNext w:val="0"/>
        <w:pageBreakBefore w:val="0"/>
        <w:widowControl w:val="0"/>
        <w:kinsoku/>
        <w:wordWrap/>
        <w:overflowPunct/>
        <w:topLinePunct w:val="0"/>
        <w:autoSpaceDE/>
        <w:autoSpaceDN/>
        <w:bidi w:val="0"/>
        <w:ind w:firstLine="643"/>
        <w:textAlignment w:val="auto"/>
        <w:rPr>
          <w:rFonts w:hint="eastAsia"/>
          <w:b w:val="0"/>
          <w:color w:val="auto"/>
          <w:highlight w:val="none"/>
        </w:rPr>
      </w:pPr>
      <w:r>
        <w:rPr>
          <w:rFonts w:hint="eastAsia"/>
          <w:color w:val="auto"/>
          <w:highlight w:val="none"/>
        </w:rPr>
        <w:t>（一）综合评价情况</w:t>
      </w:r>
    </w:p>
    <w:p w14:paraId="2118C3FC">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w:t>
      </w:r>
      <w:bookmarkStart w:id="13" w:name="OLE_LINK2"/>
      <w:r>
        <w:rPr>
          <w:rFonts w:hint="eastAsia"/>
          <w:color w:val="auto"/>
          <w:highlight w:val="none"/>
          <w:lang w:val="zh-TW" w:eastAsia="zh-TW"/>
        </w:rPr>
        <w:t>在实施过程中取得了良好的成效，具体表现在以下</w:t>
      </w:r>
      <w:r>
        <w:rPr>
          <w:rFonts w:hint="eastAsia"/>
          <w:color w:val="auto"/>
          <w:highlight w:val="none"/>
          <w:lang w:val="zh-TW"/>
        </w:rPr>
        <w:t>三</w:t>
      </w:r>
      <w:r>
        <w:rPr>
          <w:rFonts w:hint="eastAsia"/>
          <w:color w:val="auto"/>
          <w:highlight w:val="none"/>
        </w:rPr>
        <w:t>方面</w:t>
      </w:r>
      <w:bookmarkEnd w:id="13"/>
      <w:r>
        <w:rPr>
          <w:rFonts w:hint="eastAsia"/>
          <w:color w:val="auto"/>
          <w:highlight w:val="none"/>
          <w:lang w:val="zh-TW" w:eastAsia="zh-TW"/>
        </w:rPr>
        <w:t>：</w:t>
      </w:r>
    </w:p>
    <w:p w14:paraId="585BA3F3">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仿宋_GB2312" w:hAnsi="仿宋_GB2312" w:eastAsia="仿宋_GB2312" w:cs="Times New Roman"/>
          <w:color w:val="auto"/>
          <w:kern w:val="2"/>
          <w:sz w:val="28"/>
          <w:szCs w:val="24"/>
          <w:highlight w:val="none"/>
          <w:lang w:val="zh-TW" w:eastAsia="zh-TW" w:bidi="ar-SA"/>
        </w:rPr>
      </w:pPr>
      <w:r>
        <w:rPr>
          <w:rFonts w:hint="eastAsia" w:ascii="仿宋_GB2312" w:hAnsi="仿宋_GB2312" w:eastAsia="仿宋_GB2312" w:cs="Times New Roman"/>
          <w:color w:val="auto"/>
          <w:kern w:val="2"/>
          <w:sz w:val="28"/>
          <w:szCs w:val="24"/>
          <w:highlight w:val="none"/>
          <w:lang w:val="zh-TW" w:eastAsia="zh-TW" w:bidi="ar-SA"/>
        </w:rPr>
        <w:t>一是：</w:t>
      </w:r>
      <w:r>
        <w:rPr>
          <w:rFonts w:hint="eastAsia" w:ascii="仿宋_GB2312" w:hAnsi="仿宋_GB2312" w:eastAsia="仿宋_GB2312" w:cs="Times New Roman"/>
          <w:color w:val="auto"/>
          <w:kern w:val="2"/>
          <w:sz w:val="28"/>
          <w:szCs w:val="24"/>
          <w:highlight w:val="none"/>
          <w:lang w:val="en-US" w:eastAsia="zh-CN" w:bidi="ar-SA"/>
        </w:rPr>
        <w:t>落实政策，做好人身意外伤害保险参保资金归集工作。根据《自治区关于完善自治区人身意外伤害保险政策的通知》新人社发〔2018〕33号精神，进一步做好和静县人民人身意外伤害保险参保工作。</w:t>
      </w:r>
    </w:p>
    <w:p w14:paraId="4D2E0432">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二是：切实保障和静县人民人身意外伤害保险参保。加强摸底排查、确保本地区不漏一人，应保尽保。加强舆论宣传和引导，及时准确解读政策，妥善回应公众关切，合理引导社会预期，努力营造良好社会氛围。</w:t>
      </w:r>
    </w:p>
    <w:p w14:paraId="32B3559A">
      <w:pPr>
        <w:pStyle w:val="1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firstLine="560" w:firstLineChars="200"/>
        <w:jc w:val="left"/>
        <w:textAlignment w:val="auto"/>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三是：</w:t>
      </w:r>
      <w:r>
        <w:rPr>
          <w:rFonts w:hint="default" w:ascii="仿宋_GB2312" w:hAnsi="仿宋_GB2312" w:eastAsia="仿宋_GB2312" w:cs="Times New Roman"/>
          <w:color w:val="auto"/>
          <w:kern w:val="2"/>
          <w:sz w:val="28"/>
          <w:szCs w:val="24"/>
          <w:highlight w:val="none"/>
          <w:lang w:val="en-US" w:eastAsia="zh-CN" w:bidi="ar-SA"/>
        </w:rPr>
        <w:t>通过建立人身意外伤害保险制度，为</w:t>
      </w:r>
      <w:r>
        <w:rPr>
          <w:rFonts w:hint="eastAsia" w:cs="Times New Roman"/>
          <w:color w:val="auto"/>
          <w:kern w:val="2"/>
          <w:sz w:val="28"/>
          <w:szCs w:val="24"/>
          <w:highlight w:val="none"/>
          <w:lang w:val="en-US" w:eastAsia="zh-CN" w:bidi="ar-SA"/>
        </w:rPr>
        <w:t>和静县</w:t>
      </w:r>
      <w:r>
        <w:rPr>
          <w:rFonts w:hint="default" w:ascii="仿宋_GB2312" w:hAnsi="仿宋_GB2312" w:eastAsia="仿宋_GB2312" w:cs="Times New Roman"/>
          <w:color w:val="auto"/>
          <w:kern w:val="2"/>
          <w:sz w:val="28"/>
          <w:szCs w:val="24"/>
          <w:highlight w:val="none"/>
          <w:lang w:val="en-US" w:eastAsia="zh-CN" w:bidi="ar-SA"/>
        </w:rPr>
        <w:t>居民提供普惠性意外伤害保障，</w:t>
      </w:r>
      <w:r>
        <w:rPr>
          <w:rFonts w:hint="eastAsia" w:ascii="仿宋_GB2312" w:hAnsi="仿宋_GB2312" w:eastAsia="仿宋_GB2312" w:cs="Times New Roman"/>
          <w:color w:val="auto"/>
          <w:kern w:val="2"/>
          <w:sz w:val="28"/>
          <w:szCs w:val="24"/>
          <w:highlight w:val="none"/>
          <w:lang w:val="en-US" w:eastAsia="zh-CN" w:bidi="ar-SA"/>
        </w:rPr>
        <w:t>项目有效降低了</w:t>
      </w:r>
      <w:r>
        <w:rPr>
          <w:rFonts w:hint="eastAsia" w:cs="Times New Roman"/>
          <w:color w:val="auto"/>
          <w:kern w:val="2"/>
          <w:sz w:val="28"/>
          <w:szCs w:val="24"/>
          <w:highlight w:val="none"/>
          <w:lang w:val="en-US" w:eastAsia="zh-CN" w:bidi="ar-SA"/>
        </w:rPr>
        <w:t>和静县</w:t>
      </w:r>
      <w:r>
        <w:rPr>
          <w:rFonts w:hint="eastAsia" w:ascii="仿宋_GB2312" w:hAnsi="仿宋_GB2312" w:eastAsia="仿宋_GB2312" w:cs="Times New Roman"/>
          <w:color w:val="auto"/>
          <w:kern w:val="2"/>
          <w:sz w:val="28"/>
          <w:szCs w:val="24"/>
          <w:highlight w:val="none"/>
          <w:lang w:val="en-US" w:eastAsia="zh-CN" w:bidi="ar-SA"/>
        </w:rPr>
        <w:t>居民</w:t>
      </w:r>
      <w:r>
        <w:rPr>
          <w:rFonts w:hint="default" w:ascii="仿宋_GB2312" w:hAnsi="仿宋_GB2312" w:eastAsia="仿宋_GB2312" w:cs="Times New Roman"/>
          <w:color w:val="auto"/>
          <w:kern w:val="2"/>
          <w:sz w:val="28"/>
          <w:szCs w:val="24"/>
          <w:highlight w:val="none"/>
          <w:lang w:val="en-US" w:eastAsia="zh-CN" w:bidi="ar-SA"/>
        </w:rPr>
        <w:t>减轻因意外事故导致的经济负担</w:t>
      </w:r>
      <w:r>
        <w:rPr>
          <w:rFonts w:hint="eastAsia" w:ascii="仿宋_GB2312" w:hAnsi="仿宋_GB2312" w:eastAsia="仿宋_GB2312" w:cs="Times New Roman"/>
          <w:color w:val="auto"/>
          <w:kern w:val="2"/>
          <w:sz w:val="28"/>
          <w:szCs w:val="24"/>
          <w:highlight w:val="none"/>
          <w:lang w:val="en-US" w:eastAsia="zh-CN" w:bidi="ar-SA"/>
        </w:rPr>
        <w:t>，因意外事故致贫、返贫的风险，增强了家庭抗风险能力。</w:t>
      </w:r>
      <w:r>
        <w:rPr>
          <w:rFonts w:hint="default" w:ascii="仿宋_GB2312" w:hAnsi="仿宋_GB2312" w:eastAsia="仿宋_GB2312" w:cs="Times New Roman"/>
          <w:color w:val="auto"/>
          <w:kern w:val="2"/>
          <w:sz w:val="28"/>
          <w:szCs w:val="24"/>
          <w:highlight w:val="none"/>
          <w:lang w:val="en-US" w:eastAsia="zh-CN" w:bidi="ar-SA"/>
        </w:rPr>
        <w:t>项目的实施增强了</w:t>
      </w:r>
      <w:r>
        <w:rPr>
          <w:rFonts w:hint="eastAsia" w:cs="Times New Roman"/>
          <w:color w:val="auto"/>
          <w:kern w:val="2"/>
          <w:sz w:val="28"/>
          <w:szCs w:val="24"/>
          <w:highlight w:val="none"/>
          <w:lang w:val="en-US" w:eastAsia="zh-CN" w:bidi="ar-SA"/>
        </w:rPr>
        <w:t>和静县</w:t>
      </w:r>
      <w:r>
        <w:rPr>
          <w:rFonts w:hint="default" w:ascii="仿宋_GB2312" w:hAnsi="仿宋_GB2312" w:eastAsia="仿宋_GB2312" w:cs="Times New Roman"/>
          <w:color w:val="auto"/>
          <w:kern w:val="2"/>
          <w:sz w:val="28"/>
          <w:szCs w:val="24"/>
          <w:highlight w:val="none"/>
          <w:lang w:val="en-US" w:eastAsia="zh-CN" w:bidi="ar-SA"/>
        </w:rPr>
        <w:t>居民的安全感和幸福感，特别是在偏远地区和低收入群体中</w:t>
      </w:r>
      <w:r>
        <w:rPr>
          <w:rFonts w:hint="eastAsia" w:ascii="仿宋_GB2312" w:hAnsi="仿宋_GB2312" w:eastAsia="仿宋_GB2312" w:cs="Times New Roman"/>
          <w:color w:val="auto"/>
          <w:kern w:val="2"/>
          <w:sz w:val="28"/>
          <w:szCs w:val="24"/>
          <w:highlight w:val="none"/>
          <w:lang w:val="en-US" w:eastAsia="zh-CN" w:bidi="ar-SA"/>
        </w:rPr>
        <w:t>，有效提升了群众生活水平。</w:t>
      </w:r>
    </w:p>
    <w:p w14:paraId="47E54A87">
      <w:pPr>
        <w:pStyle w:val="5"/>
        <w:keepNext w:val="0"/>
        <w:pageBreakBefore w:val="0"/>
        <w:widowControl w:val="0"/>
        <w:kinsoku/>
        <w:wordWrap/>
        <w:overflowPunct/>
        <w:topLinePunct w:val="0"/>
        <w:autoSpaceDE/>
        <w:autoSpaceDN/>
        <w:bidi w:val="0"/>
        <w:ind w:left="560" w:leftChars="200" w:firstLine="0" w:firstLineChars="0"/>
        <w:textAlignment w:val="auto"/>
        <w:rPr>
          <w:color w:val="auto"/>
          <w:highlight w:val="none"/>
        </w:rPr>
      </w:pPr>
      <w:r>
        <w:rPr>
          <w:rFonts w:hint="eastAsia"/>
          <w:color w:val="auto"/>
          <w:highlight w:val="none"/>
        </w:rPr>
        <w:t>（二）评价结论</w:t>
      </w:r>
    </w:p>
    <w:p w14:paraId="4BDF063D">
      <w:pPr>
        <w:keepNext w:val="0"/>
        <w:pageBreakBefore w:val="0"/>
        <w:widowControl w:val="0"/>
        <w:kinsoku/>
        <w:wordWrap/>
        <w:overflowPunct/>
        <w:topLinePunct w:val="0"/>
        <w:autoSpaceDE/>
        <w:autoSpaceDN/>
        <w:bidi w:val="0"/>
        <w:ind w:firstLine="560"/>
        <w:textAlignment w:val="auto"/>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91.58</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4"/>
        <w:keepNext w:val="0"/>
        <w:pageBreakBefore w:val="0"/>
        <w:widowControl w:val="0"/>
        <w:numPr>
          <w:ilvl w:val="0"/>
          <w:numId w:val="3"/>
        </w:numPr>
        <w:kinsoku/>
        <w:wordWrap/>
        <w:overflowPunct/>
        <w:topLinePunct w:val="0"/>
        <w:autoSpaceDE/>
        <w:autoSpaceDN/>
        <w:bidi w:val="0"/>
        <w:ind w:firstLine="643"/>
        <w:textAlignment w:val="auto"/>
        <w:rPr>
          <w:color w:val="auto"/>
          <w:highlight w:val="none"/>
        </w:rPr>
      </w:pPr>
      <w:r>
        <w:rPr>
          <w:rFonts w:hint="eastAsia"/>
          <w:color w:val="auto"/>
          <w:highlight w:val="none"/>
        </w:rPr>
        <w:t>绩效评价指标分析</w:t>
      </w:r>
    </w:p>
    <w:p w14:paraId="53689319">
      <w:pPr>
        <w:pStyle w:val="5"/>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（一）项目决策情况</w:t>
      </w:r>
    </w:p>
    <w:p w14:paraId="0D87B127">
      <w:pPr>
        <w:keepNext w:val="0"/>
        <w:pageBreakBefore w:val="0"/>
        <w:widowControl w:val="0"/>
        <w:kinsoku/>
        <w:wordWrap/>
        <w:overflowPunct/>
        <w:topLinePunct w:val="0"/>
        <w:autoSpaceDE/>
        <w:autoSpaceDN/>
        <w:bidi w:val="0"/>
        <w:ind w:firstLine="560"/>
        <w:textAlignment w:val="auto"/>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1.项目立项情况分析</w:t>
      </w:r>
    </w:p>
    <w:p w14:paraId="014D318C">
      <w:pPr>
        <w:keepNext w:val="0"/>
        <w:pageBreakBefore w:val="0"/>
        <w:widowControl w:val="0"/>
        <w:kinsoku/>
        <w:wordWrap/>
        <w:overflowPunct/>
        <w:topLinePunct w:val="0"/>
        <w:autoSpaceDE/>
        <w:autoSpaceDN/>
        <w:bidi w:val="0"/>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keepNext w:val="0"/>
        <w:pageBreakBefore w:val="0"/>
        <w:widowControl w:val="0"/>
        <w:kinsoku/>
        <w:wordWrap/>
        <w:overflowPunct/>
        <w:topLinePunct w:val="0"/>
        <w:autoSpaceDE/>
        <w:autoSpaceDN/>
        <w:bidi w:val="0"/>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新疆维吾尔自治区人力资源和社会保障厅、财政厅等部门联合</w:t>
      </w:r>
      <w:r>
        <w:rPr>
          <w:rFonts w:hint="eastAsia"/>
          <w:color w:val="auto"/>
          <w:highlight w:val="none"/>
          <w:lang w:eastAsia="zh-Hans"/>
        </w:rPr>
        <w:t>颁发的</w:t>
      </w:r>
      <w:r>
        <w:rPr>
          <w:rFonts w:hint="eastAsia"/>
          <w:color w:val="auto"/>
          <w:highlight w:val="none"/>
        </w:rPr>
        <w:t>《关于建立和实施人身意外伤害保险的通知》</w:t>
      </w:r>
      <w:r>
        <w:rPr>
          <w:rFonts w:hint="eastAsia"/>
          <w:color w:val="auto"/>
          <w:highlight w:val="none"/>
          <w:lang w:eastAsia="zh-Hans"/>
        </w:rPr>
        <w:t>（</w:t>
      </w:r>
      <w:r>
        <w:rPr>
          <w:rFonts w:hint="eastAsia"/>
          <w:color w:val="auto"/>
          <w:highlight w:val="none"/>
        </w:rPr>
        <w:t>新人社发〔2016〕140号</w:t>
      </w:r>
      <w:r>
        <w:rPr>
          <w:rFonts w:hint="eastAsia"/>
          <w:color w:val="auto"/>
          <w:highlight w:val="none"/>
          <w:lang w:eastAsia="zh-Hans"/>
        </w:rPr>
        <w:t>）中：“为推</w:t>
      </w:r>
      <w:r>
        <w:rPr>
          <w:rFonts w:hint="eastAsia"/>
          <w:color w:val="auto"/>
          <w:highlight w:val="none"/>
        </w:rPr>
        <w:t>进社保惠民，扩大全区各族群众医疗救助范围，根据国务院逐步建立多层次医疗保障体系的有关要求，自治区决定实施人身意外伤害保险普惠政策。</w:t>
      </w:r>
      <w:r>
        <w:rPr>
          <w:rFonts w:hint="eastAsia"/>
          <w:color w:val="auto"/>
          <w:highlight w:val="none"/>
          <w:lang w:bidi="ar"/>
        </w:rPr>
        <w:t>”</w:t>
      </w:r>
      <w:r>
        <w:rPr>
          <w:rFonts w:hint="eastAsia"/>
          <w:color w:val="auto"/>
          <w:highlight w:val="none"/>
        </w:rPr>
        <w:t>；</w:t>
      </w:r>
      <w:r>
        <w:rPr>
          <w:rFonts w:hint="eastAsia"/>
          <w:color w:val="auto"/>
          <w:highlight w:val="none"/>
          <w:lang w:eastAsia="zh-Hans"/>
        </w:rPr>
        <w:t>本项目立项符合《</w:t>
      </w:r>
      <w:r>
        <w:rPr>
          <w:rFonts w:hint="default"/>
          <w:color w:val="auto"/>
          <w:highlight w:val="none"/>
          <w:lang w:eastAsia="zh-Hans"/>
        </w:rPr>
        <w:t>新疆维吾尔自治区人身意外伤害保险资金管理暂行办法</w:t>
      </w:r>
      <w:r>
        <w:rPr>
          <w:rFonts w:hint="eastAsia"/>
          <w:color w:val="auto"/>
          <w:highlight w:val="none"/>
          <w:lang w:eastAsia="zh-Hans"/>
        </w:rPr>
        <w:t>》中：“</w:t>
      </w:r>
      <w:r>
        <w:rPr>
          <w:rFonts w:hint="default"/>
          <w:color w:val="auto"/>
          <w:highlight w:val="none"/>
          <w:lang w:eastAsia="zh-Hans"/>
        </w:rPr>
        <w:t>人身意外伤害保险资金是指自治区各级财政通过公共财政预算安排，用于支持被保险人员(具有新疆户籍的居民、参加自治区城镇职工和城乡居民基本医疗保险的非新疆户籍居民和援疆工作人员，不包括兵团户籍人口)缴纳人身意外伤害保险费而设立的专项资金</w:t>
      </w:r>
      <w:r>
        <w:rPr>
          <w:rFonts w:hint="eastAsia"/>
          <w:color w:val="auto"/>
          <w:highlight w:val="none"/>
          <w:lang w:eastAsia="zh-Hans"/>
        </w:rPr>
        <w:t>”内容，符合行业发展规划和政策要求；本项目立项符合《关于建立和实施人身意外伤害保险的通知》中职责范围中的“</w:t>
      </w:r>
      <w:r>
        <w:rPr>
          <w:rFonts w:hint="default"/>
          <w:color w:val="auto"/>
          <w:highlight w:val="none"/>
          <w:lang w:eastAsia="zh-Hans"/>
        </w:rPr>
        <w:t>各地州市财政部门要以各地社保经办部门核定的人数，按照筹资标准，足额落实人身意外伤害保险资金，建立资金保障机制。</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其他医疗救助支出</w:t>
      </w:r>
      <w:r>
        <w:rPr>
          <w:rFonts w:hint="eastAsia"/>
          <w:color w:val="auto"/>
          <w:highlight w:val="none"/>
          <w:lang w:eastAsia="zh-Hans"/>
        </w:rPr>
        <w:t>”经济分类为“</w:t>
      </w:r>
      <w:r>
        <w:rPr>
          <w:rFonts w:hint="eastAsia"/>
          <w:color w:val="auto"/>
          <w:highlight w:val="none"/>
          <w:lang w:val="en-US" w:eastAsia="zh-CN"/>
        </w:rPr>
        <w:t>社会保障缴费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keepNext w:val="0"/>
        <w:pageBreakBefore w:val="0"/>
        <w:widowControl w:val="0"/>
        <w:kinsoku/>
        <w:wordWrap/>
        <w:overflowPunct/>
        <w:topLinePunct w:val="0"/>
        <w:autoSpaceDE/>
        <w:autoSpaceDN/>
        <w:bidi w:val="0"/>
        <w:ind w:firstLine="560"/>
        <w:textAlignment w:val="auto"/>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keepNext w:val="0"/>
        <w:pageBreakBefore w:val="0"/>
        <w:widowControl w:val="0"/>
        <w:kinsoku/>
        <w:wordWrap/>
        <w:overflowPunct/>
        <w:topLinePunct w:val="0"/>
        <w:autoSpaceDE/>
        <w:autoSpaceDN/>
        <w:bidi w:val="0"/>
        <w:ind w:firstLine="562"/>
        <w:textAlignment w:val="auto"/>
        <w:rPr>
          <w:b/>
          <w:bCs/>
          <w:color w:val="auto"/>
          <w:highlight w:val="none"/>
        </w:rPr>
      </w:pPr>
      <w:r>
        <w:rPr>
          <w:rFonts w:hint="eastAsia"/>
          <w:b/>
          <w:bCs/>
          <w:color w:val="auto"/>
          <w:highlight w:val="none"/>
        </w:rPr>
        <w:t>（2）立项程序规范性</w:t>
      </w:r>
    </w:p>
    <w:p w14:paraId="6B57081B">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本项目2024年自治区人身意外伤害保险补助资金巴财社【2023】79号，项目立项过程中产生的文件均符合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94</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rPr>
        <w:t>，已委托</w:t>
      </w:r>
      <w:r>
        <w:rPr>
          <w:rFonts w:hint="eastAsia"/>
          <w:color w:val="auto"/>
          <w:highlight w:val="none"/>
          <w:lang w:val="en-US" w:eastAsia="zh-CN"/>
        </w:rPr>
        <w:t>和静县医疗保障局</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3FD5043">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2.绩效目标情况分析</w:t>
      </w:r>
    </w:p>
    <w:p w14:paraId="024B53F9">
      <w:pPr>
        <w:keepNext w:val="0"/>
        <w:keepLines w:val="0"/>
        <w:pageBreakBefore w:val="0"/>
        <w:widowControl w:val="0"/>
        <w:kinsoku/>
        <w:wordWrap/>
        <w:overflowPunct/>
        <w:topLinePunct w:val="0"/>
        <w:autoSpaceDE/>
        <w:autoSpaceDN/>
        <w:bidi w:val="0"/>
        <w:adjustRightInd/>
        <w:snapToGrid/>
        <w:ind w:firstLine="562"/>
        <w:textAlignment w:val="auto"/>
        <w:rPr>
          <w:b/>
          <w:bCs/>
          <w:color w:val="auto"/>
          <w:highlight w:val="none"/>
        </w:rPr>
      </w:pPr>
      <w:r>
        <w:rPr>
          <w:rFonts w:hint="eastAsia"/>
          <w:b/>
          <w:bCs/>
          <w:color w:val="auto"/>
          <w:highlight w:val="none"/>
        </w:rPr>
        <w:t>（1）绩效目标合理性</w:t>
      </w:r>
    </w:p>
    <w:p w14:paraId="108B082E">
      <w:pPr>
        <w:pStyle w:val="1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仿宋_GB2312" w:hAnsi="仿宋_GB2312" w:eastAsia="仿宋_GB2312" w:cs="Times New Roman"/>
          <w:color w:val="auto"/>
          <w:kern w:val="2"/>
          <w:sz w:val="28"/>
          <w:szCs w:val="24"/>
          <w:highlight w:val="none"/>
          <w:lang w:val="en-US" w:eastAsia="zh-Hans" w:bidi="ar-SA"/>
        </w:rPr>
      </w:pPr>
      <w:r>
        <w:rPr>
          <w:rFonts w:hint="eastAsia" w:ascii="仿宋_GB2312" w:hAnsi="仿宋_GB2312" w:eastAsia="仿宋_GB2312" w:cs="Times New Roman"/>
          <w:color w:val="auto"/>
          <w:kern w:val="2"/>
          <w:sz w:val="28"/>
          <w:szCs w:val="24"/>
          <w:highlight w:val="none"/>
          <w:lang w:val="en-US" w:eastAsia="zh-CN" w:bidi="ar-SA"/>
        </w:rPr>
        <w:t>本项目已设置年度绩效目标，具体内容为“目标1：保障188000人身意外伤害保险参保人员县级配套资金及时归集，参保率达到100%。目标2：保障被保险人发生意外身故、残疾和住院医疗等的补偿,减轻人身意外伤害保险对象经济负担，促进家庭和社会安定和诺。”；本项目实际工作为：完成131367人身意外伤害保险参保人员县级配套资金及时归集。绩效目标与实际工作内容一致，两者具有相关性;本项目</w:t>
      </w:r>
      <w:r>
        <w:rPr>
          <w:rFonts w:hint="eastAsia" w:ascii="仿宋_GB2312" w:hAnsi="仿宋_GB2312" w:eastAsia="仿宋_GB2312" w:cs="Times New Roman"/>
          <w:color w:val="auto"/>
          <w:kern w:val="2"/>
          <w:sz w:val="28"/>
          <w:szCs w:val="24"/>
          <w:highlight w:val="none"/>
          <w:lang w:val="en-US" w:eastAsia="zh-Hans" w:bidi="ar-SA"/>
        </w:rPr>
        <w:t>按照绩效目标完成数量指标、质量指标、时效指标、成本指标，有效保障了</w:t>
      </w:r>
      <w:r>
        <w:rPr>
          <w:rFonts w:hint="eastAsia" w:ascii="仿宋_GB2312" w:hAnsi="仿宋_GB2312" w:eastAsia="仿宋_GB2312" w:cs="Times New Roman"/>
          <w:color w:val="auto"/>
          <w:kern w:val="2"/>
          <w:sz w:val="28"/>
          <w:szCs w:val="24"/>
          <w:highlight w:val="none"/>
          <w:lang w:val="en-US" w:eastAsia="zh-CN" w:bidi="ar-SA"/>
        </w:rPr>
        <w:t>被保险人在新疆境内发生意外身故、残疾和住院医疗等给予补偿，降低人身意外伤害风险，有效减轻了意外伤害群众的精神痛苦和经济负担</w:t>
      </w:r>
      <w:r>
        <w:rPr>
          <w:rFonts w:hint="eastAsia"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en-US" w:eastAsia="zh-Hans" w:bidi="ar-SA"/>
        </w:rPr>
        <w:t>年度绩效目标完成，预期产出效益和效果符合正常的业绩水</w:t>
      </w:r>
      <w:r>
        <w:rPr>
          <w:rFonts w:hint="eastAsia" w:ascii="仿宋_GB2312" w:hAnsi="仿宋_GB2312" w:eastAsia="仿宋_GB2312" w:cs="Times New Roman"/>
          <w:color w:val="auto"/>
          <w:kern w:val="2"/>
          <w:sz w:val="28"/>
          <w:szCs w:val="24"/>
          <w:highlight w:val="none"/>
          <w:lang w:val="en-US" w:eastAsia="zh-Hans" w:bidi="ar-SA"/>
        </w:rPr>
        <w:t>平。</w:t>
      </w:r>
      <w:r>
        <w:rPr>
          <w:rFonts w:hint="eastAsia" w:ascii="仿宋_GB2312" w:hAnsi="仿宋_GB2312" w:eastAsia="仿宋_GB2312" w:cs="Times New Roman"/>
          <w:color w:val="auto"/>
          <w:kern w:val="2"/>
          <w:sz w:val="28"/>
          <w:szCs w:val="24"/>
          <w:highlight w:val="none"/>
          <w:lang w:val="en-US" w:eastAsia="zh-CN" w:bidi="ar-SA"/>
        </w:rPr>
        <w:t>该项目批复的预算金额为94</w:t>
      </w:r>
      <w:r>
        <w:rPr>
          <w:rFonts w:hint="eastAsia" w:ascii="仿宋_GB2312" w:hAnsi="仿宋_GB2312" w:eastAsia="仿宋_GB2312" w:cs="Times New Roman"/>
          <w:color w:val="auto"/>
          <w:kern w:val="2"/>
          <w:sz w:val="28"/>
          <w:szCs w:val="24"/>
          <w:highlight w:val="none"/>
          <w:lang w:val="en-US" w:eastAsia="zh-CN" w:bidi="ar-SA"/>
        </w:rPr>
        <w:t>万元，《财政项目支出绩效目标表》中全年预算金额为94</w:t>
      </w:r>
      <w:r>
        <w:rPr>
          <w:rFonts w:hint="eastAsia" w:ascii="仿宋_GB2312" w:hAnsi="仿宋_GB2312" w:eastAsia="仿宋_GB2312" w:cs="Times New Roman"/>
          <w:color w:val="auto"/>
          <w:kern w:val="2"/>
          <w:sz w:val="28"/>
          <w:szCs w:val="24"/>
          <w:highlight w:val="none"/>
          <w:lang w:val="en-US" w:eastAsia="zh-CN" w:bidi="ar-SA"/>
        </w:rPr>
        <w:t>万元，预算确定的项目资金与预算确定的项目投资额相匹配。</w:t>
      </w:r>
    </w:p>
    <w:p w14:paraId="2C1223E8">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keepNext w:val="0"/>
        <w:keepLines w:val="0"/>
        <w:pageBreakBefore w:val="0"/>
        <w:widowControl w:val="0"/>
        <w:kinsoku/>
        <w:wordWrap/>
        <w:overflowPunct/>
        <w:topLinePunct w:val="0"/>
        <w:autoSpaceDE/>
        <w:autoSpaceDN/>
        <w:bidi w:val="0"/>
        <w:adjustRightInd/>
        <w:snapToGrid/>
        <w:ind w:firstLine="562"/>
        <w:textAlignment w:val="auto"/>
        <w:rPr>
          <w:b/>
          <w:bCs/>
          <w:color w:val="auto"/>
          <w:highlight w:val="none"/>
        </w:rPr>
      </w:pPr>
      <w:r>
        <w:rPr>
          <w:rFonts w:hint="eastAsia"/>
          <w:b/>
          <w:bCs/>
          <w:color w:val="auto"/>
          <w:highlight w:val="none"/>
        </w:rPr>
        <w:t>（2）绩效指标明确性</w:t>
      </w:r>
    </w:p>
    <w:p w14:paraId="268DCAF2">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88.89</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3.资金投入情况分析</w:t>
      </w:r>
    </w:p>
    <w:p w14:paraId="2AC6B192">
      <w:pPr>
        <w:keepNext w:val="0"/>
        <w:pageBreakBefore w:val="0"/>
        <w:widowControl w:val="0"/>
        <w:kinsoku/>
        <w:wordWrap/>
        <w:overflowPunct/>
        <w:topLinePunct w:val="0"/>
        <w:autoSpaceDE/>
        <w:autoSpaceDN/>
        <w:bidi w:val="0"/>
        <w:ind w:firstLine="562"/>
        <w:textAlignment w:val="auto"/>
        <w:rPr>
          <w:b/>
          <w:bCs/>
          <w:color w:val="auto"/>
          <w:highlight w:val="none"/>
          <w:lang w:eastAsia="zh-Hans" w:bidi="ar"/>
        </w:rPr>
      </w:pPr>
      <w:r>
        <w:rPr>
          <w:rFonts w:hint="eastAsia"/>
          <w:b/>
          <w:bCs/>
          <w:color w:val="auto"/>
          <w:highlight w:val="none"/>
          <w:lang w:eastAsia="zh-Hans" w:bidi="ar"/>
        </w:rPr>
        <w:t>（1）预算编制科学性</w:t>
      </w:r>
    </w:p>
    <w:p w14:paraId="6A240BEA">
      <w:pPr>
        <w:keepNext w:val="0"/>
        <w:pageBreakBefore w:val="0"/>
        <w:widowControl w:val="0"/>
        <w:kinsoku/>
        <w:wordWrap/>
        <w:overflowPunct/>
        <w:topLinePunct w:val="0"/>
        <w:autoSpaceDE/>
        <w:autoSpaceDN/>
        <w:bidi w:val="0"/>
        <w:ind w:firstLine="560"/>
        <w:textAlignment w:val="auto"/>
        <w:rPr>
          <w:rFonts w:hint="eastAsia"/>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根据</w:t>
      </w:r>
      <w:r>
        <w:rPr>
          <w:rFonts w:hint="eastAsia"/>
          <w:color w:val="auto"/>
          <w:highlight w:val="none"/>
        </w:rPr>
        <w:t>《关于建立和实施人身意外伤害保险的通知》</w:t>
      </w:r>
      <w:r>
        <w:rPr>
          <w:rFonts w:hint="eastAsia"/>
          <w:color w:val="auto"/>
          <w:highlight w:val="none"/>
          <w:lang w:eastAsia="zh-Hans"/>
        </w:rPr>
        <w:t>（</w:t>
      </w:r>
      <w:r>
        <w:rPr>
          <w:rFonts w:hint="eastAsia"/>
          <w:color w:val="auto"/>
          <w:highlight w:val="none"/>
        </w:rPr>
        <w:t>新人社发</w:t>
      </w:r>
      <w:r>
        <w:rPr>
          <w:rFonts w:hint="eastAsia"/>
          <w:color w:val="auto"/>
          <w:highlight w:val="none"/>
          <w:lang w:bidi="ar"/>
        </w:rPr>
        <w:t>〔2016〕140号</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r>
        <w:rPr>
          <w:rFonts w:hint="eastAsia"/>
          <w:color w:val="auto"/>
          <w:highlight w:val="none"/>
          <w:lang w:eastAsia="zh-Hans" w:bidi="ar"/>
        </w:rPr>
        <w:t>预算申请内容为</w:t>
      </w:r>
      <w:r>
        <w:rPr>
          <w:rFonts w:hint="eastAsia"/>
          <w:color w:val="auto"/>
          <w:highlight w:val="none"/>
          <w:lang w:bidi="ar"/>
        </w:rPr>
        <w:t>2024年自治区人身意外伤害保险补助资金</w:t>
      </w:r>
      <w:r>
        <w:rPr>
          <w:rFonts w:hint="eastAsia"/>
          <w:color w:val="auto"/>
          <w:highlight w:val="none"/>
          <w:lang w:val="en-US" w:eastAsia="zh-CN" w:bidi="ar"/>
        </w:rPr>
        <w:t>县级配套</w:t>
      </w:r>
      <w:r>
        <w:rPr>
          <w:rFonts w:hint="eastAsia"/>
          <w:color w:val="auto"/>
          <w:highlight w:val="none"/>
          <w:lang w:eastAsia="zh-Hans" w:bidi="ar"/>
        </w:rPr>
        <w:t>，项目实际内容为</w:t>
      </w:r>
      <w:r>
        <w:rPr>
          <w:rFonts w:hint="eastAsia"/>
          <w:color w:val="auto"/>
          <w:highlight w:val="none"/>
          <w:lang w:bidi="ar"/>
        </w:rPr>
        <w:t>2024年自治区人身意外伤害保险补助资金</w:t>
      </w:r>
      <w:r>
        <w:rPr>
          <w:rFonts w:hint="eastAsia"/>
          <w:color w:val="auto"/>
          <w:highlight w:val="none"/>
          <w:lang w:val="en-US" w:eastAsia="zh-CN" w:bidi="ar"/>
        </w:rPr>
        <w:t>县级配套</w:t>
      </w:r>
      <w:r>
        <w:rPr>
          <w:rFonts w:hint="eastAsia"/>
          <w:color w:val="auto"/>
          <w:highlight w:val="none"/>
          <w:lang w:eastAsia="zh-Hans" w:bidi="ar"/>
        </w:rPr>
        <w:t>，预算申请与</w:t>
      </w:r>
      <w:r>
        <w:rPr>
          <w:rFonts w:hint="eastAsia"/>
          <w:color w:val="auto"/>
          <w:highlight w:val="none"/>
          <w:lang w:val="en-US" w:eastAsia="zh-CN" w:bidi="ar"/>
        </w:rPr>
        <w:t>《</w:t>
      </w:r>
      <w:r>
        <w:rPr>
          <w:rFonts w:hint="eastAsia"/>
          <w:color w:val="auto"/>
          <w:highlight w:val="none"/>
          <w:lang w:eastAsia="zh-Hans" w:bidi="ar"/>
        </w:rPr>
        <w:t>关于切实做好2024年自治州人身意外伤害保险相关工作的通知</w:t>
      </w:r>
      <w:r>
        <w:rPr>
          <w:rFonts w:hint="eastAsia"/>
          <w:color w:val="auto"/>
          <w:highlight w:val="none"/>
          <w:lang w:val="en-US" w:eastAsia="zh-CN" w:bidi="ar"/>
        </w:rPr>
        <w:t>》</w:t>
      </w:r>
      <w:r>
        <w:rPr>
          <w:rFonts w:hint="eastAsia"/>
          <w:color w:val="auto"/>
          <w:highlight w:val="none"/>
          <w:lang w:eastAsia="zh-Hans" w:bidi="ar"/>
        </w:rPr>
        <w:t>巴医保发（2024）6号中涉及的项目内容匹配</w:t>
      </w:r>
      <w:r>
        <w:rPr>
          <w:rFonts w:hint="eastAsia"/>
          <w:color w:val="auto"/>
          <w:highlight w:val="none"/>
          <w:lang w:bidi="ar"/>
        </w:rPr>
        <w:t>；</w:t>
      </w:r>
    </w:p>
    <w:p w14:paraId="1D85ABAC">
      <w:pPr>
        <w:keepNext w:val="0"/>
        <w:pageBreakBefore w:val="0"/>
        <w:widowControl w:val="0"/>
        <w:kinsoku/>
        <w:wordWrap/>
        <w:overflowPunct/>
        <w:topLinePunct w:val="0"/>
        <w:autoSpaceDE/>
        <w:autoSpaceDN/>
        <w:bidi w:val="0"/>
        <w:ind w:firstLine="560"/>
        <w:textAlignment w:val="auto"/>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94</w:t>
      </w:r>
      <w:r>
        <w:rPr>
          <w:rFonts w:hint="eastAsia"/>
          <w:color w:val="auto"/>
          <w:highlight w:val="none"/>
        </w:rPr>
        <w:t>万元，我单位在预算申请中严格按照单位标准和数量进行核算，其中：意外伤害保险县级配套补助标准</w:t>
      </w:r>
      <w:r>
        <w:rPr>
          <w:rFonts w:hint="eastAsia"/>
          <w:color w:val="auto"/>
          <w:highlight w:val="none"/>
          <w:lang w:val="en-US" w:eastAsia="zh-CN"/>
        </w:rPr>
        <w:t>5元</w:t>
      </w:r>
      <w:r>
        <w:rPr>
          <w:rFonts w:hint="eastAsia"/>
          <w:color w:val="auto"/>
          <w:highlight w:val="none"/>
        </w:rPr>
        <w:t>，参保人数为</w:t>
      </w:r>
      <w:r>
        <w:rPr>
          <w:rFonts w:hint="eastAsia"/>
          <w:color w:val="auto"/>
          <w:highlight w:val="none"/>
          <w:lang w:val="en-US" w:eastAsia="zh-CN"/>
        </w:rPr>
        <w:t>188000人</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keepNext w:val="0"/>
        <w:pageBreakBefore w:val="0"/>
        <w:widowControl w:val="0"/>
        <w:kinsoku/>
        <w:wordWrap/>
        <w:overflowPunct/>
        <w:topLinePunct w:val="0"/>
        <w:autoSpaceDE/>
        <w:autoSpaceDN/>
        <w:bidi w:val="0"/>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keepNext w:val="0"/>
        <w:pageBreakBefore w:val="0"/>
        <w:widowControl w:val="0"/>
        <w:kinsoku/>
        <w:wordWrap/>
        <w:overflowPunct/>
        <w:topLinePunct w:val="0"/>
        <w:autoSpaceDE/>
        <w:autoSpaceDN/>
        <w:bidi w:val="0"/>
        <w:ind w:firstLine="562"/>
        <w:textAlignment w:val="auto"/>
        <w:rPr>
          <w:b/>
          <w:bCs/>
          <w:color w:val="auto"/>
          <w:highlight w:val="none"/>
        </w:rPr>
      </w:pPr>
      <w:r>
        <w:rPr>
          <w:rFonts w:hint="eastAsia"/>
          <w:b/>
          <w:bCs/>
          <w:color w:val="auto"/>
          <w:highlight w:val="none"/>
        </w:rPr>
        <w:t>（2）资金分配合理性</w:t>
      </w:r>
    </w:p>
    <w:p w14:paraId="4198879A">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《关于切实做好2024年自治州人身意外伤害保险相关工作的通知</w:t>
      </w:r>
      <w:r>
        <w:rPr>
          <w:rFonts w:hint="eastAsia"/>
          <w:color w:val="auto"/>
          <w:highlight w:val="none"/>
          <w:lang w:val="en-US" w:eastAsia="zh-CN" w:bidi="ar"/>
        </w:rPr>
        <w:t>》</w:t>
      </w:r>
      <w:r>
        <w:rPr>
          <w:rFonts w:hint="eastAsia"/>
          <w:color w:val="auto"/>
          <w:highlight w:val="none"/>
          <w:lang w:eastAsia="zh-Hans" w:bidi="ar"/>
        </w:rPr>
        <w:t>巴医保发（2024）6号为依据进行资金分配，预算资金分配依据充分</w:t>
      </w:r>
      <w:r>
        <w:rPr>
          <w:rFonts w:hint="eastAsia"/>
          <w:color w:val="auto"/>
          <w:highlight w:val="none"/>
          <w:lang w:bidi="ar"/>
        </w:rPr>
        <w:t>。根据《</w:t>
      </w:r>
      <w:r>
        <w:rPr>
          <w:rFonts w:hint="eastAsia"/>
          <w:color w:val="auto"/>
          <w:highlight w:val="none"/>
          <w:lang w:eastAsia="zh-Hans" w:bidi="ar"/>
        </w:rPr>
        <w:t>关于切实做好2024年自治州人身意外伤害保险相关工作的通知</w:t>
      </w:r>
      <w:r>
        <w:rPr>
          <w:rFonts w:hint="eastAsia"/>
          <w:color w:val="auto"/>
          <w:highlight w:val="none"/>
          <w:lang w:bidi="ar"/>
        </w:rPr>
        <w:t>》文件显示，本项目实际到位资金</w:t>
      </w:r>
      <w:r>
        <w:rPr>
          <w:rFonts w:hint="eastAsia"/>
          <w:color w:val="auto"/>
          <w:highlight w:val="none"/>
          <w:lang w:val="en-US" w:eastAsia="zh-CN" w:bidi="ar"/>
        </w:rPr>
        <w:t>94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5"/>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（二）项目过程情况</w:t>
      </w:r>
    </w:p>
    <w:p w14:paraId="41B82301">
      <w:pPr>
        <w:keepNext w:val="0"/>
        <w:pageBreakBefore w:val="0"/>
        <w:widowControl w:val="0"/>
        <w:kinsoku/>
        <w:wordWrap/>
        <w:overflowPunct/>
        <w:topLinePunct w:val="0"/>
        <w:autoSpaceDE/>
        <w:autoSpaceDN/>
        <w:bidi w:val="0"/>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1.资金管理情况分析</w:t>
      </w:r>
    </w:p>
    <w:p w14:paraId="78AEBDF0">
      <w:pPr>
        <w:keepNext w:val="0"/>
        <w:pageBreakBefore w:val="0"/>
        <w:widowControl w:val="0"/>
        <w:kinsoku/>
        <w:wordWrap/>
        <w:overflowPunct/>
        <w:topLinePunct w:val="0"/>
        <w:autoSpaceDE/>
        <w:autoSpaceDN/>
        <w:bidi w:val="0"/>
        <w:ind w:firstLine="562"/>
        <w:textAlignment w:val="auto"/>
        <w:rPr>
          <w:b/>
          <w:bCs/>
          <w:color w:val="auto"/>
          <w:highlight w:val="none"/>
        </w:rPr>
      </w:pPr>
      <w:r>
        <w:rPr>
          <w:rFonts w:hint="eastAsia"/>
          <w:b/>
          <w:bCs/>
          <w:color w:val="auto"/>
          <w:highlight w:val="none"/>
        </w:rPr>
        <w:t>（1）资金到位率</w:t>
      </w:r>
    </w:p>
    <w:p w14:paraId="101C3BB6">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本项目预算资金为</w:t>
      </w:r>
      <w:r>
        <w:rPr>
          <w:rFonts w:hint="eastAsia"/>
          <w:color w:val="auto"/>
          <w:highlight w:val="none"/>
          <w:lang w:val="en-US" w:eastAsia="zh-CN"/>
        </w:rPr>
        <w:t>94</w:t>
      </w:r>
      <w:r>
        <w:rPr>
          <w:rFonts w:hint="eastAsia"/>
          <w:color w:val="auto"/>
          <w:highlight w:val="none"/>
        </w:rPr>
        <w:t>万元，其中：本级财政安排资金</w:t>
      </w:r>
      <w:r>
        <w:rPr>
          <w:rFonts w:hint="eastAsia"/>
          <w:color w:val="auto"/>
          <w:highlight w:val="none"/>
          <w:lang w:val="en-US" w:eastAsia="zh-CN"/>
        </w:rPr>
        <w:t>94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94</w:t>
      </w:r>
      <w:r>
        <w:rPr>
          <w:rFonts w:hint="eastAsia"/>
          <w:color w:val="auto"/>
          <w:highlight w:val="none"/>
        </w:rPr>
        <w:t>万元，资金到位率=（实际到位资金/预算资金）×100%=（</w:t>
      </w:r>
      <w:r>
        <w:rPr>
          <w:rFonts w:hint="eastAsia"/>
          <w:color w:val="auto"/>
          <w:highlight w:val="none"/>
          <w:lang w:val="en-US" w:eastAsia="zh-CN"/>
        </w:rPr>
        <w:t>94</w:t>
      </w:r>
      <w:r>
        <w:rPr>
          <w:rFonts w:hint="eastAsia"/>
          <w:color w:val="auto"/>
          <w:highlight w:val="none"/>
        </w:rPr>
        <w:t>/</w:t>
      </w:r>
      <w:r>
        <w:rPr>
          <w:rFonts w:hint="eastAsia"/>
          <w:color w:val="auto"/>
          <w:highlight w:val="none"/>
          <w:lang w:val="en-US" w:eastAsia="zh-CN"/>
        </w:rPr>
        <w:t>94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keepNext w:val="0"/>
        <w:pageBreakBefore w:val="0"/>
        <w:widowControl w:val="0"/>
        <w:kinsoku/>
        <w:wordWrap/>
        <w:overflowPunct/>
        <w:topLinePunct w:val="0"/>
        <w:autoSpaceDE/>
        <w:autoSpaceDN/>
        <w:bidi w:val="0"/>
        <w:ind w:firstLine="562"/>
        <w:textAlignment w:val="auto"/>
        <w:rPr>
          <w:color w:val="auto"/>
          <w:highlight w:val="none"/>
        </w:rPr>
      </w:pPr>
      <w:r>
        <w:rPr>
          <w:rFonts w:hint="eastAsia"/>
          <w:b/>
          <w:bCs/>
          <w:color w:val="auto"/>
          <w:highlight w:val="none"/>
        </w:rPr>
        <w:t>（2）预算执行率</w:t>
      </w:r>
    </w:p>
    <w:p w14:paraId="167F8BD4">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本项目实际支出资金</w:t>
      </w:r>
      <w:r>
        <w:rPr>
          <w:rFonts w:hint="eastAsia"/>
          <w:color w:val="auto"/>
          <w:highlight w:val="none"/>
          <w:lang w:val="en-US" w:eastAsia="zh-CN"/>
        </w:rPr>
        <w:t>94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94</w:t>
      </w:r>
      <w:r>
        <w:rPr>
          <w:rFonts w:hint="eastAsia"/>
          <w:color w:val="auto"/>
          <w:highlight w:val="none"/>
        </w:rPr>
        <w:t>/</w:t>
      </w:r>
      <w:r>
        <w:rPr>
          <w:rFonts w:hint="eastAsia"/>
          <w:color w:val="auto"/>
          <w:highlight w:val="none"/>
          <w:lang w:val="en-US" w:eastAsia="zh-CN"/>
        </w:rPr>
        <w:t>94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keepNext w:val="0"/>
        <w:pageBreakBefore w:val="0"/>
        <w:widowControl w:val="0"/>
        <w:kinsoku/>
        <w:wordWrap/>
        <w:overflowPunct/>
        <w:topLinePunct w:val="0"/>
        <w:autoSpaceDE/>
        <w:autoSpaceDN/>
        <w:bidi w:val="0"/>
        <w:ind w:firstLine="562"/>
        <w:textAlignment w:val="auto"/>
        <w:rPr>
          <w:b/>
          <w:bCs/>
          <w:color w:val="auto"/>
          <w:highlight w:val="none"/>
        </w:rPr>
      </w:pPr>
      <w:r>
        <w:rPr>
          <w:rFonts w:hint="eastAsia"/>
          <w:b/>
          <w:bCs/>
          <w:color w:val="auto"/>
          <w:highlight w:val="none"/>
        </w:rPr>
        <w:t>（3）资金使用合规性</w:t>
      </w:r>
    </w:p>
    <w:p w14:paraId="52CA3425">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和静县医疗保障局</w:t>
      </w:r>
      <w:r>
        <w:rPr>
          <w:color w:val="auto"/>
          <w:highlight w:val="none"/>
        </w:rPr>
        <w:t>资金管理办法》</w:t>
      </w:r>
      <w:r>
        <w:rPr>
          <w:rFonts w:hint="eastAsia"/>
          <w:color w:val="auto"/>
          <w:highlight w:val="none"/>
          <w:lang w:eastAsia="zh-CN"/>
        </w:rPr>
        <w:t>《</w:t>
      </w:r>
      <w:r>
        <w:rPr>
          <w:rFonts w:hint="default"/>
          <w:color w:val="auto"/>
          <w:highlight w:val="none"/>
        </w:rPr>
        <w:t>新疆维吾尔自治区人身意外伤害保险资金管理暂行办法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2.组织实施情况分析</w:t>
      </w:r>
    </w:p>
    <w:p w14:paraId="51DF9777">
      <w:pPr>
        <w:keepNext w:val="0"/>
        <w:pageBreakBefore w:val="0"/>
        <w:widowControl w:val="0"/>
        <w:kinsoku/>
        <w:wordWrap/>
        <w:overflowPunct/>
        <w:topLinePunct w:val="0"/>
        <w:autoSpaceDE/>
        <w:autoSpaceDN/>
        <w:bidi w:val="0"/>
        <w:ind w:firstLine="562"/>
        <w:textAlignment w:val="auto"/>
        <w:rPr>
          <w:b/>
          <w:bCs/>
          <w:color w:val="auto"/>
          <w:highlight w:val="none"/>
        </w:rPr>
      </w:pPr>
      <w:r>
        <w:rPr>
          <w:rFonts w:hint="eastAsia"/>
          <w:b/>
          <w:bCs/>
          <w:color w:val="auto"/>
          <w:highlight w:val="none"/>
        </w:rPr>
        <w:t>（1）管理制度健全性</w:t>
      </w:r>
    </w:p>
    <w:p w14:paraId="29F8D75C">
      <w:pPr>
        <w:keepNext w:val="0"/>
        <w:pageBreakBefore w:val="0"/>
        <w:widowControl w:val="0"/>
        <w:kinsoku/>
        <w:wordWrap/>
        <w:overflowPunct/>
        <w:topLinePunct w:val="0"/>
        <w:autoSpaceDE/>
        <w:autoSpaceDN/>
        <w:bidi w:val="0"/>
        <w:ind w:firstLine="560"/>
        <w:textAlignment w:val="auto"/>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和静县医疗保障局</w:t>
      </w:r>
      <w:r>
        <w:rPr>
          <w:rFonts w:hint="eastAsia"/>
          <w:color w:val="auto"/>
          <w:highlight w:val="none"/>
        </w:rPr>
        <w:t>资金管理办法》《</w:t>
      </w:r>
      <w:r>
        <w:rPr>
          <w:rFonts w:hint="eastAsia"/>
          <w:color w:val="auto"/>
          <w:highlight w:val="none"/>
          <w:lang w:val="en-US" w:eastAsia="zh-CN"/>
        </w:rPr>
        <w:t>和静县医疗保障局</w:t>
      </w:r>
      <w:r>
        <w:rPr>
          <w:rFonts w:hint="eastAsia"/>
          <w:color w:val="auto"/>
          <w:highlight w:val="none"/>
        </w:rPr>
        <w:t>收支业务管理制度》《</w:t>
      </w:r>
      <w:r>
        <w:rPr>
          <w:rFonts w:hint="eastAsia"/>
          <w:color w:val="auto"/>
          <w:highlight w:val="none"/>
          <w:lang w:val="en-US" w:eastAsia="zh-CN"/>
        </w:rPr>
        <w:t>和静县医疗保障局</w:t>
      </w:r>
      <w:r>
        <w:rPr>
          <w:rFonts w:hint="eastAsia"/>
          <w:color w:val="auto"/>
          <w:highlight w:val="none"/>
        </w:rPr>
        <w:t>政府采购业务管理制度》《</w:t>
      </w:r>
      <w:r>
        <w:rPr>
          <w:rFonts w:hint="eastAsia"/>
          <w:color w:val="auto"/>
          <w:highlight w:val="none"/>
          <w:lang w:val="en-US" w:eastAsia="zh-CN"/>
        </w:rPr>
        <w:t>和静县医疗保障局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keepNext w:val="0"/>
        <w:pageBreakBefore w:val="0"/>
        <w:widowControl w:val="0"/>
        <w:kinsoku/>
        <w:wordWrap/>
        <w:overflowPunct/>
        <w:topLinePunct w:val="0"/>
        <w:autoSpaceDE/>
        <w:autoSpaceDN/>
        <w:bidi w:val="0"/>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keepNext w:val="0"/>
        <w:pageBreakBefore w:val="0"/>
        <w:widowControl w:val="0"/>
        <w:kinsoku/>
        <w:wordWrap/>
        <w:overflowPunct/>
        <w:topLinePunct w:val="0"/>
        <w:autoSpaceDE/>
        <w:autoSpaceDN/>
        <w:bidi w:val="0"/>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bidi="ar"/>
        </w:rPr>
        <w:t>人身意外伤害保险补助资金</w:t>
      </w:r>
      <w:r>
        <w:rPr>
          <w:rFonts w:hint="eastAsia"/>
          <w:color w:val="auto"/>
          <w:highlight w:val="none"/>
        </w:rPr>
        <w:t>项目工作领导小组，由党组书记</w:t>
      </w:r>
      <w:r>
        <w:rPr>
          <w:rFonts w:hint="eastAsia"/>
          <w:color w:val="auto"/>
          <w:highlight w:val="none"/>
          <w:lang w:val="en-US" w:eastAsia="zh-CN"/>
        </w:rPr>
        <w:t>包志敏</w:t>
      </w:r>
      <w:r>
        <w:rPr>
          <w:rFonts w:hint="eastAsia"/>
          <w:color w:val="auto"/>
          <w:highlight w:val="none"/>
        </w:rPr>
        <w:t>任组长，负责项目的组织工作；</w:t>
      </w:r>
      <w:r>
        <w:rPr>
          <w:rFonts w:hint="eastAsia"/>
          <w:color w:val="auto"/>
          <w:highlight w:val="none"/>
          <w:lang w:val="en-US" w:eastAsia="zh-CN"/>
        </w:rPr>
        <w:t>金花</w:t>
      </w:r>
      <w:r>
        <w:rPr>
          <w:rFonts w:hint="eastAsia"/>
          <w:color w:val="auto"/>
          <w:highlight w:val="none"/>
        </w:rPr>
        <w:t>任副组长，负责项目的实施工作；组员包括：</w:t>
      </w:r>
      <w:r>
        <w:rPr>
          <w:rFonts w:hint="eastAsia"/>
          <w:color w:val="auto"/>
          <w:highlight w:val="none"/>
          <w:lang w:val="en-US" w:eastAsia="zh-CN"/>
        </w:rPr>
        <w:t>徐诤，</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5"/>
        <w:keepNext w:val="0"/>
        <w:pageBreakBefore w:val="0"/>
        <w:widowControl w:val="0"/>
        <w:kinsoku/>
        <w:wordWrap/>
        <w:overflowPunct/>
        <w:topLinePunct w:val="0"/>
        <w:autoSpaceDE/>
        <w:autoSpaceDN/>
        <w:bidi w:val="0"/>
        <w:ind w:left="560" w:leftChars="200" w:firstLine="0" w:firstLineChars="0"/>
        <w:textAlignment w:val="auto"/>
        <w:rPr>
          <w:color w:val="auto"/>
          <w:highlight w:val="none"/>
        </w:rPr>
      </w:pPr>
      <w:r>
        <w:rPr>
          <w:rFonts w:hint="eastAsia"/>
          <w:color w:val="auto"/>
          <w:highlight w:val="none"/>
        </w:rPr>
        <w:t>（三）项目产出情况</w:t>
      </w:r>
    </w:p>
    <w:p w14:paraId="7DAE0AE8">
      <w:pPr>
        <w:keepNext w:val="0"/>
        <w:pageBreakBefore w:val="0"/>
        <w:widowControl w:val="0"/>
        <w:kinsoku/>
        <w:wordWrap/>
        <w:overflowPunct/>
        <w:topLinePunct w:val="0"/>
        <w:autoSpaceDE/>
        <w:autoSpaceDN/>
        <w:bidi w:val="0"/>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12.49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1.数量指标完成情况分析</w:t>
      </w:r>
    </w:p>
    <w:p w14:paraId="7AA55B2E">
      <w:pPr>
        <w:pStyle w:val="2"/>
        <w:keepNext w:val="0"/>
        <w:pageBreakBefore w:val="0"/>
        <w:widowControl w:val="0"/>
        <w:kinsoku/>
        <w:wordWrap/>
        <w:overflowPunct/>
        <w:topLinePunct w:val="0"/>
        <w:autoSpaceDE/>
        <w:autoSpaceDN/>
        <w:bidi w:val="0"/>
        <w:textAlignment w:val="auto"/>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参保人数</w:t>
      </w:r>
      <w:r>
        <w:rPr>
          <w:rFonts w:hint="eastAsia"/>
          <w:color w:val="auto"/>
          <w:highlight w:val="none"/>
          <w:lang w:eastAsia="zh-CN"/>
        </w:rPr>
        <w:t>”指标</w:t>
      </w:r>
      <w:r>
        <w:rPr>
          <w:rFonts w:hint="eastAsia"/>
          <w:color w:val="auto"/>
          <w:highlight w:val="none"/>
        </w:rPr>
        <w:t>:预期指标值为&gt;=188000人，实际完成值为=131367人,指标完成率为</w:t>
      </w:r>
      <w:r>
        <w:rPr>
          <w:rFonts w:hint="eastAsia"/>
          <w:color w:val="auto"/>
          <w:highlight w:val="none"/>
          <w:lang w:val="en-US" w:eastAsia="zh-CN"/>
        </w:rPr>
        <w:t>69.87%</w:t>
      </w:r>
      <w:r>
        <w:rPr>
          <w:rFonts w:hint="eastAsia"/>
          <w:color w:val="auto"/>
          <w:highlight w:val="none"/>
        </w:rPr>
        <w:t>，偏差率</w:t>
      </w:r>
      <w:r>
        <w:rPr>
          <w:rFonts w:hint="eastAsia"/>
          <w:color w:val="auto"/>
          <w:highlight w:val="none"/>
          <w:lang w:val="en-US" w:eastAsia="zh-CN"/>
        </w:rPr>
        <w:t>30.13</w:t>
      </w:r>
      <w:r>
        <w:rPr>
          <w:rFonts w:hint="eastAsia"/>
          <w:color w:val="auto"/>
          <w:highlight w:val="none"/>
        </w:rPr>
        <w:t>%</w:t>
      </w:r>
      <w:r>
        <w:rPr>
          <w:rFonts w:hint="eastAsia"/>
          <w:color w:val="auto"/>
          <w:highlight w:val="none"/>
          <w:lang w:eastAsia="zh-CN"/>
        </w:rPr>
        <w:t>，</w:t>
      </w:r>
      <w:r>
        <w:rPr>
          <w:rFonts w:hint="eastAsia"/>
          <w:color w:val="auto"/>
          <w:highlight w:val="none"/>
        </w:rPr>
        <w:t>偏差主要原因是：年初设定目标较高，实际参保人数131367人，造成偏差</w:t>
      </w:r>
      <w:r>
        <w:rPr>
          <w:rFonts w:hint="eastAsia"/>
          <w:color w:val="auto"/>
          <w:highlight w:val="none"/>
          <w:lang w:eastAsia="zh-CN"/>
        </w:rPr>
        <w:t>。</w:t>
      </w:r>
      <w:r>
        <w:rPr>
          <w:rFonts w:hint="eastAsia"/>
          <w:color w:val="auto"/>
          <w:highlight w:val="none"/>
        </w:rPr>
        <w:t>改进措施：今后将加强对项目实施的调研，提高实施方案编制精度，强化目标制定的准确性，促进项目保质保量完成。</w:t>
      </w:r>
    </w:p>
    <w:p w14:paraId="762106C4">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2.质量指标完成情况分析</w:t>
      </w:r>
    </w:p>
    <w:p w14:paraId="1987D74F">
      <w:pPr>
        <w:keepNext w:val="0"/>
        <w:pageBreakBefore w:val="0"/>
        <w:widowControl w:val="0"/>
        <w:kinsoku/>
        <w:wordWrap/>
        <w:overflowPunct/>
        <w:topLinePunct w:val="0"/>
        <w:autoSpaceDE/>
        <w:autoSpaceDN/>
        <w:bidi w:val="0"/>
        <w:ind w:firstLine="560"/>
        <w:textAlignment w:val="auto"/>
        <w:rPr>
          <w:rFonts w:hint="eastAsia"/>
          <w:color w:val="auto"/>
          <w:highlight w:val="none"/>
          <w:lang w:eastAsia="zh-CN"/>
        </w:rPr>
      </w:pPr>
      <w:r>
        <w:rPr>
          <w:rFonts w:hint="eastAsia"/>
          <w:color w:val="auto"/>
          <w:highlight w:val="none"/>
        </w:rPr>
        <w:t>“参保覆盖率”指标：预期指标值为&gt;=100%，实际完成指标值为=100%，指标完成率为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89F965F">
      <w:pPr>
        <w:keepNext w:val="0"/>
        <w:pageBreakBefore w:val="0"/>
        <w:widowControl w:val="0"/>
        <w:kinsoku/>
        <w:wordWrap/>
        <w:overflowPunct/>
        <w:topLinePunct w:val="0"/>
        <w:autoSpaceDE/>
        <w:autoSpaceDN/>
        <w:bidi w:val="0"/>
        <w:ind w:firstLine="560"/>
        <w:textAlignment w:val="auto"/>
        <w:rPr>
          <w:rFonts w:hint="eastAsia"/>
          <w:color w:val="auto"/>
          <w:highlight w:val="none"/>
          <w:lang w:eastAsia="zh-CN"/>
        </w:rPr>
      </w:pPr>
      <w:r>
        <w:rPr>
          <w:rFonts w:hint="eastAsia"/>
          <w:color w:val="auto"/>
          <w:highlight w:val="none"/>
        </w:rPr>
        <w:t>“人身意外伤害保险县级补助资金发放足额率”指标：预期指标值为&gt;=100%，实际完成指标值为=100%，指标完成率为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B81E6A3">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3.时效指标完成情况分析</w:t>
      </w:r>
    </w:p>
    <w:p w14:paraId="5BBE0D27">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“保险报销及时率”指标：预期指标值为&gt;=100%，实际完成指标值为=100%，指标完成率为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6EC26B9">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“资金支付及时率”指标：预期指标值为&gt;=100%，实际完成指标值为=100%，指标完成率为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827160C">
      <w:pPr>
        <w:pStyle w:val="5"/>
        <w:keepNext w:val="0"/>
        <w:pageBreakBefore w:val="0"/>
        <w:widowControl w:val="0"/>
        <w:kinsoku/>
        <w:wordWrap/>
        <w:overflowPunct/>
        <w:topLinePunct w:val="0"/>
        <w:autoSpaceDE/>
        <w:autoSpaceDN/>
        <w:bidi w:val="0"/>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keepNext w:val="0"/>
        <w:pageBreakBefore w:val="0"/>
        <w:widowControl w:val="0"/>
        <w:kinsoku/>
        <w:wordWrap/>
        <w:overflowPunct/>
        <w:topLinePunct w:val="0"/>
        <w:autoSpaceDE/>
        <w:autoSpaceDN/>
        <w:bidi w:val="0"/>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9.09</w:t>
      </w:r>
      <w:r>
        <w:rPr>
          <w:rFonts w:hint="eastAsia"/>
          <w:color w:val="auto"/>
          <w:highlight w:val="none"/>
          <w:lang w:val="zh-TW" w:eastAsia="zh-TW"/>
        </w:rPr>
        <w:t>分</w:t>
      </w:r>
      <w:r>
        <w:rPr>
          <w:rFonts w:hint="eastAsia"/>
          <w:color w:val="auto"/>
          <w:highlight w:val="none"/>
          <w:lang w:val="zh-TW"/>
        </w:rPr>
        <w:t>。</w:t>
      </w:r>
    </w:p>
    <w:p w14:paraId="39A26334">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95A7B82">
      <w:pPr>
        <w:keepNext w:val="0"/>
        <w:pageBreakBefore w:val="0"/>
        <w:widowControl w:val="0"/>
        <w:kinsoku/>
        <w:wordWrap/>
        <w:overflowPunct/>
        <w:topLinePunct w:val="0"/>
        <w:autoSpaceDE/>
        <w:autoSpaceDN/>
        <w:bidi w:val="0"/>
        <w:ind w:firstLine="560"/>
        <w:textAlignment w:val="auto"/>
        <w:rPr>
          <w:rFonts w:hint="eastAsia" w:eastAsia="仿宋_GB2312"/>
          <w:color w:val="auto"/>
          <w:highlight w:val="none"/>
          <w:lang w:eastAsia="zh-CN"/>
        </w:rPr>
      </w:pPr>
      <w:r>
        <w:rPr>
          <w:rFonts w:hint="eastAsia"/>
          <w:color w:val="auto"/>
          <w:highlight w:val="none"/>
        </w:rPr>
        <w:t>“意外伤害保险县级配套补助标准”指标：预期指标值为=5元/人/年，实际完成指标值为=</w:t>
      </w:r>
      <w:r>
        <w:rPr>
          <w:rFonts w:hint="eastAsia"/>
          <w:color w:val="auto"/>
          <w:highlight w:val="none"/>
          <w:lang w:val="en-US" w:eastAsia="zh-CN"/>
        </w:rPr>
        <w:t>7.16</w:t>
      </w:r>
      <w:r>
        <w:rPr>
          <w:rFonts w:hint="eastAsia"/>
          <w:color w:val="auto"/>
          <w:highlight w:val="none"/>
        </w:rPr>
        <w:t>元/人/年，指标完成率为</w:t>
      </w:r>
      <w:r>
        <w:rPr>
          <w:rFonts w:hint="eastAsia"/>
          <w:color w:val="auto"/>
          <w:highlight w:val="none"/>
          <w:lang w:val="en-US" w:eastAsia="zh-CN"/>
        </w:rPr>
        <w:t>143.2%</w:t>
      </w:r>
      <w:r>
        <w:rPr>
          <w:rFonts w:hint="eastAsia"/>
          <w:color w:val="auto"/>
          <w:highlight w:val="none"/>
        </w:rPr>
        <w:t>，偏差率</w:t>
      </w:r>
      <w:r>
        <w:rPr>
          <w:rFonts w:hint="eastAsia"/>
          <w:color w:val="auto"/>
          <w:highlight w:val="none"/>
          <w:lang w:val="en-US" w:eastAsia="zh-CN"/>
        </w:rPr>
        <w:t>43.2%</w:t>
      </w:r>
      <w:r>
        <w:rPr>
          <w:rFonts w:hint="eastAsia"/>
          <w:color w:val="auto"/>
          <w:highlight w:val="none"/>
          <w:lang w:eastAsia="zh-CN"/>
        </w:rPr>
        <w:t>，</w:t>
      </w:r>
      <w:r>
        <w:rPr>
          <w:rFonts w:hint="eastAsia"/>
          <w:color w:val="auto"/>
          <w:highlight w:val="none"/>
        </w:rPr>
        <w:t>偏差主要原因是：年初设定目标较高，实际参保人数131367人，造成偏差</w:t>
      </w:r>
      <w:r>
        <w:rPr>
          <w:rFonts w:hint="eastAsia"/>
          <w:color w:val="auto"/>
          <w:highlight w:val="none"/>
          <w:lang w:eastAsia="zh-CN"/>
        </w:rPr>
        <w:t>。</w:t>
      </w:r>
      <w:r>
        <w:rPr>
          <w:rFonts w:hint="eastAsia"/>
          <w:color w:val="auto"/>
          <w:highlight w:val="none"/>
        </w:rPr>
        <w:t>改进措施：今后将加强对项目实施的调研，提高实施方案编制精度，强化目标制定的准确性，促进项目保质保量完成</w:t>
      </w:r>
      <w:r>
        <w:rPr>
          <w:rFonts w:hint="eastAsia"/>
          <w:color w:val="auto"/>
          <w:highlight w:val="none"/>
          <w:lang w:eastAsia="zh-CN"/>
        </w:rPr>
        <w:t>。</w:t>
      </w:r>
    </w:p>
    <w:p w14:paraId="24591260">
      <w:pPr>
        <w:pStyle w:val="5"/>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keepNext w:val="0"/>
        <w:pageBreakBefore w:val="0"/>
        <w:widowControl w:val="0"/>
        <w:kinsoku/>
        <w:wordWrap/>
        <w:overflowPunct/>
        <w:topLinePunct w:val="0"/>
        <w:autoSpaceDE/>
        <w:autoSpaceDN/>
        <w:bidi w:val="0"/>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rPr>
        <w:t>1.社会效益完成情况分析</w:t>
      </w:r>
    </w:p>
    <w:p w14:paraId="3656346E">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“政策知晓率”指标：预期指标值为&gt;=90%，实际完成指标值为=</w:t>
      </w:r>
      <w:r>
        <w:rPr>
          <w:rFonts w:hint="eastAsia"/>
          <w:color w:val="auto"/>
          <w:highlight w:val="none"/>
          <w:lang w:val="en-US" w:eastAsia="zh-CN"/>
        </w:rPr>
        <w:t>96.51%</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1875056">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“减轻参保人员就医经济负担，缓解社会矛盾”指标：预期指标值为有效</w:t>
      </w:r>
      <w:r>
        <w:rPr>
          <w:rFonts w:hint="eastAsia"/>
          <w:color w:val="auto"/>
          <w:highlight w:val="none"/>
          <w:lang w:val="en-US" w:eastAsia="zh-CN"/>
        </w:rPr>
        <w:t>提升</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6"/>
        <w:keepNext w:val="0"/>
        <w:pageBreakBefore w:val="0"/>
        <w:widowControl w:val="0"/>
        <w:kinsoku/>
        <w:wordWrap/>
        <w:overflowPunct/>
        <w:topLinePunct w:val="0"/>
        <w:autoSpaceDE/>
        <w:autoSpaceDN/>
        <w:bidi w:val="0"/>
        <w:ind w:firstLine="562"/>
        <w:textAlignment w:val="auto"/>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0FEFA70">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“参保人员满意程度”指标：预期指标值为&gt;=90%，实际完成指标值为=9</w:t>
      </w:r>
      <w:r>
        <w:rPr>
          <w:rFonts w:hint="eastAsia"/>
          <w:color w:val="auto"/>
          <w:highlight w:val="none"/>
          <w:lang w:val="en-US" w:eastAsia="zh-CN"/>
        </w:rPr>
        <w:t>6.51</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4"/>
        <w:keepNext w:val="0"/>
        <w:pageBreakBefore w:val="0"/>
        <w:widowControl w:val="0"/>
        <w:kinsoku/>
        <w:wordWrap/>
        <w:overflowPunct/>
        <w:topLinePunct w:val="0"/>
        <w:autoSpaceDE/>
        <w:autoSpaceDN/>
        <w:bidi w:val="0"/>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94万元，全年预算数为94万元，全年执行数为94万元，预算执行率为100%。</w:t>
      </w:r>
    </w:p>
    <w:p w14:paraId="1570F70A">
      <w:pPr>
        <w:pStyle w:val="2"/>
        <w:keepNext w:val="0"/>
        <w:pageBreakBefore w:val="0"/>
        <w:widowControl w:val="0"/>
        <w:kinsoku/>
        <w:wordWrap/>
        <w:overflowPunct/>
        <w:topLinePunct w:val="0"/>
        <w:autoSpaceDE/>
        <w:autoSpaceDN/>
        <w:bidi w:val="0"/>
        <w:textAlignment w:val="auto"/>
        <w:rPr>
          <w:rFonts w:hint="eastAsia"/>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100.65</w:t>
      </w:r>
      <w:r>
        <w:rPr>
          <w:rFonts w:hint="eastAsia"/>
          <w:color w:val="auto"/>
          <w:highlight w:val="none"/>
          <w:lang w:val="zh-TW" w:eastAsia="zh-TW"/>
        </w:rPr>
        <w:t>%。</w:t>
      </w:r>
      <w:r>
        <w:rPr>
          <w:rFonts w:hint="eastAsia"/>
          <w:color w:val="auto"/>
          <w:highlight w:val="none"/>
          <w:lang w:val="en-US" w:eastAsia="zh-CN"/>
        </w:rPr>
        <w:t>综上所述本项目预算执行率与总体完成率之间的偏差为0.65%。</w:t>
      </w:r>
    </w:p>
    <w:p w14:paraId="6DF3CF1A">
      <w:pPr>
        <w:keepNext w:val="0"/>
        <w:pageBreakBefore w:val="0"/>
        <w:widowControl w:val="0"/>
        <w:kinsoku/>
        <w:wordWrap/>
        <w:overflowPunct/>
        <w:topLinePunct w:val="0"/>
        <w:autoSpaceDE/>
        <w:autoSpaceDN/>
        <w:bidi w:val="0"/>
        <w:ind w:firstLine="560"/>
        <w:textAlignment w:val="auto"/>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0.</w:t>
      </w:r>
      <w:r>
        <w:rPr>
          <w:rFonts w:hint="eastAsia"/>
          <w:color w:val="auto"/>
          <w:highlight w:val="none"/>
          <w:lang w:val="en-US" w:eastAsia="zh-CN"/>
        </w:rPr>
        <w:t>65</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2024年自治区人身意外伤害保险补助资金巴财社【2023】79号</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en-US" w:eastAsia="zh-CN"/>
        </w:rPr>
        <w:t>由于年初设定</w:t>
      </w:r>
      <w:r>
        <w:rPr>
          <w:rFonts w:hint="eastAsia" w:ascii="Times New Roman" w:hAnsi="Times New Roman" w:cs="Times New Roman"/>
          <w:color w:val="auto"/>
          <w:highlight w:val="none"/>
          <w:u w:color="000000"/>
          <w:lang w:val="en-US" w:eastAsia="zh-CN"/>
        </w:rPr>
        <w:t>参保人数</w:t>
      </w:r>
      <w:r>
        <w:rPr>
          <w:rFonts w:hint="default" w:ascii="Times New Roman" w:hAnsi="Times New Roman" w:cs="Times New Roman"/>
          <w:color w:val="auto"/>
          <w:highlight w:val="none"/>
          <w:u w:color="000000"/>
          <w:lang w:val="en-US" w:eastAsia="zh-CN"/>
        </w:rPr>
        <w:t>目标较高，实际参保人数</w:t>
      </w:r>
      <w:r>
        <w:rPr>
          <w:rFonts w:hint="eastAsia" w:ascii="Times New Roman" w:hAnsi="Times New Roman" w:cs="Times New Roman"/>
          <w:color w:val="auto"/>
          <w:highlight w:val="none"/>
          <w:u w:color="000000"/>
          <w:lang w:val="en-US" w:eastAsia="zh-CN"/>
        </w:rPr>
        <w:t>为</w:t>
      </w:r>
      <w:r>
        <w:rPr>
          <w:rFonts w:hint="default" w:ascii="Times New Roman" w:hAnsi="Times New Roman" w:cs="Times New Roman"/>
          <w:color w:val="auto"/>
          <w:highlight w:val="none"/>
          <w:u w:color="000000"/>
          <w:lang w:val="en-US" w:eastAsia="zh-CN"/>
        </w:rPr>
        <w:t>131367人，导致偏差</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今后将加强对项目实施的调研，提高实施方案编制精度，强化目标制定的准确性，促进项目保质保量完成。</w:t>
      </w:r>
    </w:p>
    <w:p w14:paraId="238D407F">
      <w:pPr>
        <w:pStyle w:val="4"/>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5"/>
        <w:keepNext w:val="0"/>
        <w:pageBreakBefore w:val="0"/>
        <w:widowControl w:val="0"/>
        <w:numPr>
          <w:ilvl w:val="0"/>
          <w:numId w:val="4"/>
        </w:numPr>
        <w:kinsoku/>
        <w:wordWrap/>
        <w:overflowPunct/>
        <w:topLinePunct w:val="0"/>
        <w:autoSpaceDE/>
        <w:autoSpaceDN/>
        <w:bidi w:val="0"/>
        <w:ind w:left="-83" w:leftChars="0" w:firstLine="643" w:firstLineChars="0"/>
        <w:textAlignment w:val="auto"/>
        <w:rPr>
          <w:color w:val="auto"/>
          <w:highlight w:val="none"/>
        </w:rPr>
      </w:pPr>
      <w:bookmarkStart w:id="14" w:name="_Toc1921"/>
      <w:bookmarkStart w:id="15" w:name="_Toc28290"/>
      <w:r>
        <w:rPr>
          <w:rFonts w:hint="eastAsia"/>
          <w:color w:val="auto"/>
          <w:highlight w:val="none"/>
        </w:rPr>
        <w:t>主要经验及做法</w:t>
      </w:r>
    </w:p>
    <w:bookmarkEnd w:id="14"/>
    <w:bookmarkEnd w:id="15"/>
    <w:p w14:paraId="4699A56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提高思想认识，加强领导，精心组织，</w:t>
      </w:r>
      <w:r>
        <w:rPr>
          <w:rFonts w:hint="eastAsia"/>
          <w:color w:val="auto"/>
          <w:highlight w:val="none"/>
          <w:lang w:val="en-US" w:eastAsia="zh-CN"/>
        </w:rPr>
        <w:t>明确</w:t>
      </w:r>
      <w:r>
        <w:rPr>
          <w:rFonts w:hint="eastAsia"/>
          <w:color w:val="auto"/>
          <w:highlight w:val="none"/>
        </w:rPr>
        <w:t>责任分工，</w:t>
      </w:r>
      <w:r>
        <w:rPr>
          <w:rFonts w:hint="eastAsia"/>
          <w:color w:val="auto"/>
          <w:highlight w:val="none"/>
          <w:lang w:val="en-US" w:eastAsia="zh-CN"/>
        </w:rPr>
        <w:t>确</w:t>
      </w:r>
      <w:r>
        <w:rPr>
          <w:rFonts w:hint="eastAsia"/>
          <w:color w:val="auto"/>
          <w:highlight w:val="none"/>
        </w:rPr>
        <w:t>保本地区不漏一人，应保尽保。加强</w:t>
      </w:r>
      <w:r>
        <w:rPr>
          <w:rFonts w:hint="eastAsia"/>
          <w:color w:val="auto"/>
          <w:highlight w:val="none"/>
          <w:lang w:val="en-US" w:eastAsia="zh-CN"/>
        </w:rPr>
        <w:t>舆论</w:t>
      </w:r>
      <w:r>
        <w:rPr>
          <w:rFonts w:hint="eastAsia"/>
          <w:color w:val="auto"/>
          <w:highlight w:val="none"/>
        </w:rPr>
        <w:t>宣传和引导，及时准确解读政</w:t>
      </w:r>
      <w:r>
        <w:rPr>
          <w:rFonts w:hint="eastAsia"/>
          <w:color w:val="auto"/>
          <w:highlight w:val="none"/>
          <w:lang w:val="en-US" w:eastAsia="zh-CN"/>
        </w:rPr>
        <w:t>策</w:t>
      </w:r>
      <w:r>
        <w:rPr>
          <w:rFonts w:hint="eastAsia"/>
          <w:color w:val="auto"/>
          <w:highlight w:val="none"/>
        </w:rPr>
        <w:t>，妥善回应公众关切，合理引导社会预期，努力营造良好社会</w:t>
      </w:r>
      <w:r>
        <w:rPr>
          <w:rFonts w:hint="eastAsia"/>
          <w:color w:val="auto"/>
          <w:highlight w:val="none"/>
          <w:lang w:val="en-US" w:eastAsia="zh-CN"/>
        </w:rPr>
        <w:t>氛围</w:t>
      </w:r>
      <w:r>
        <w:rPr>
          <w:rFonts w:hint="eastAsia"/>
          <w:color w:val="auto"/>
          <w:highlight w:val="none"/>
        </w:rPr>
        <w:t>。</w:t>
      </w:r>
    </w:p>
    <w:p w14:paraId="71FC37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自治区人身意外伤害保险是对被保险人在新疆境内发生意外身故、残疾和住院医疗等给予补偿，降低人身意外伤害风险，有效减轻了意外伤害群众的精神痛苦和经济负担，产生了良好的社会效应，实现新疆社会稳定和长治久安总目标的重要举措。</w:t>
      </w:r>
    </w:p>
    <w:p w14:paraId="7B88B01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3.</w:t>
      </w:r>
      <w:r>
        <w:rPr>
          <w:rFonts w:hint="eastAsia" w:ascii="宋体" w:hAnsi="宋体" w:eastAsia="仿宋_GB2312" w:cs="宋体"/>
          <w:color w:val="auto"/>
          <w:kern w:val="0"/>
          <w:sz w:val="28"/>
          <w:szCs w:val="21"/>
          <w:highlight w:val="none"/>
          <w:lang w:val="en-US" w:eastAsia="zh-CN" w:bidi="ar"/>
        </w:rPr>
        <w:t>科学编制</w:t>
      </w:r>
      <w:r>
        <w:rPr>
          <w:rFonts w:hint="eastAsia" w:ascii="宋体" w:hAnsi="宋体" w:cs="宋体"/>
          <w:color w:val="auto"/>
          <w:kern w:val="0"/>
          <w:sz w:val="28"/>
          <w:szCs w:val="21"/>
          <w:highlight w:val="none"/>
          <w:lang w:val="en-US" w:eastAsia="zh-CN" w:bidi="ar"/>
        </w:rPr>
        <w:t>人身意外伤害保险资金</w:t>
      </w:r>
      <w:r>
        <w:rPr>
          <w:rFonts w:hint="eastAsia" w:ascii="宋体" w:hAnsi="宋体" w:eastAsia="仿宋_GB2312" w:cs="宋体"/>
          <w:color w:val="auto"/>
          <w:kern w:val="0"/>
          <w:sz w:val="28"/>
          <w:szCs w:val="21"/>
          <w:highlight w:val="none"/>
          <w:lang w:val="en-US" w:eastAsia="zh-CN" w:bidi="ar"/>
        </w:rPr>
        <w:t>收支预算，加强预算执行监督，全面实施预算绩效管理。</w:t>
      </w:r>
    </w:p>
    <w:p w14:paraId="5730407D">
      <w:pPr>
        <w:pStyle w:val="5"/>
        <w:keepNext w:val="0"/>
        <w:pageBreakBefore w:val="0"/>
        <w:widowControl w:val="0"/>
        <w:numPr>
          <w:ilvl w:val="0"/>
          <w:numId w:val="4"/>
        </w:numPr>
        <w:kinsoku/>
        <w:wordWrap/>
        <w:overflowPunct/>
        <w:topLinePunct w:val="0"/>
        <w:autoSpaceDE/>
        <w:autoSpaceDN/>
        <w:bidi w:val="0"/>
        <w:ind w:left="-83" w:leftChars="0" w:firstLine="643" w:firstLineChars="0"/>
        <w:textAlignment w:val="auto"/>
        <w:rPr>
          <w:color w:val="auto"/>
          <w:highlight w:val="none"/>
        </w:rPr>
      </w:pPr>
      <w:r>
        <w:rPr>
          <w:rFonts w:hint="eastAsia"/>
          <w:color w:val="auto"/>
          <w:highlight w:val="none"/>
        </w:rPr>
        <w:t>存在的问题及原因分析</w:t>
      </w:r>
    </w:p>
    <w:p w14:paraId="6FD5068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1.</w:t>
      </w:r>
      <w:r>
        <w:rPr>
          <w:rFonts w:hint="eastAsia" w:ascii="宋体" w:hAnsi="宋体" w:eastAsia="仿宋_GB2312" w:cs="宋体"/>
          <w:color w:val="auto"/>
          <w:kern w:val="0"/>
          <w:sz w:val="28"/>
          <w:szCs w:val="21"/>
          <w:highlight w:val="none"/>
          <w:lang w:val="zh-TW" w:eastAsia="zh-CN" w:bidi="ar"/>
        </w:rPr>
        <w:t>202</w:t>
      </w:r>
      <w:r>
        <w:rPr>
          <w:rFonts w:hint="eastAsia" w:ascii="宋体" w:hAnsi="宋体" w:cs="宋体"/>
          <w:color w:val="auto"/>
          <w:kern w:val="0"/>
          <w:sz w:val="28"/>
          <w:szCs w:val="21"/>
          <w:highlight w:val="none"/>
          <w:lang w:val="en-US" w:eastAsia="zh-CN" w:bidi="ar"/>
        </w:rPr>
        <w:t>4</w:t>
      </w:r>
      <w:r>
        <w:rPr>
          <w:rFonts w:hint="eastAsia" w:ascii="宋体" w:hAnsi="宋体" w:eastAsia="仿宋_GB2312" w:cs="宋体"/>
          <w:color w:val="auto"/>
          <w:kern w:val="0"/>
          <w:sz w:val="28"/>
          <w:szCs w:val="21"/>
          <w:highlight w:val="none"/>
          <w:lang w:val="zh-TW" w:eastAsia="zh-CN" w:bidi="ar"/>
        </w:rPr>
        <w:t>年</w:t>
      </w:r>
      <w:r>
        <w:rPr>
          <w:rFonts w:hint="eastAsia" w:ascii="宋体" w:hAnsi="宋体" w:cs="宋体"/>
          <w:color w:val="auto"/>
          <w:kern w:val="0"/>
          <w:sz w:val="28"/>
          <w:szCs w:val="21"/>
          <w:highlight w:val="none"/>
          <w:lang w:val="en-US" w:eastAsia="zh-CN" w:bidi="ar"/>
        </w:rPr>
        <w:t>人身意外伤害保险</w:t>
      </w:r>
      <w:r>
        <w:rPr>
          <w:rFonts w:hint="eastAsia" w:ascii="宋体" w:hAnsi="宋体" w:eastAsia="仿宋_GB2312" w:cs="宋体"/>
          <w:color w:val="auto"/>
          <w:kern w:val="0"/>
          <w:sz w:val="28"/>
          <w:szCs w:val="21"/>
          <w:highlight w:val="none"/>
          <w:lang w:val="en-US" w:eastAsia="zh-CN" w:bidi="ar"/>
        </w:rPr>
        <w:t>参保人数年初设定目标较高，造成参保人数有偏差，</w:t>
      </w:r>
      <w:r>
        <w:rPr>
          <w:rFonts w:hint="eastAsia" w:ascii="宋体" w:hAnsi="宋体" w:cs="宋体"/>
          <w:color w:val="auto"/>
          <w:kern w:val="0"/>
          <w:sz w:val="28"/>
          <w:szCs w:val="21"/>
          <w:highlight w:val="none"/>
          <w:lang w:val="en-US" w:eastAsia="zh-CN" w:bidi="ar"/>
        </w:rPr>
        <w:t>本单位</w:t>
      </w:r>
      <w:r>
        <w:rPr>
          <w:rFonts w:hint="eastAsia" w:ascii="宋体" w:hAnsi="宋体" w:eastAsia="仿宋_GB2312" w:cs="宋体"/>
          <w:color w:val="auto"/>
          <w:kern w:val="0"/>
          <w:sz w:val="28"/>
          <w:szCs w:val="21"/>
          <w:highlight w:val="none"/>
          <w:lang w:val="en-US" w:eastAsia="zh-CN" w:bidi="ar"/>
        </w:rPr>
        <w:t>绩效目标管理体系还有待提高，</w:t>
      </w:r>
      <w:r>
        <w:rPr>
          <w:rFonts w:hint="eastAsia" w:ascii="宋体" w:hAnsi="宋体" w:cs="宋体"/>
          <w:color w:val="auto"/>
          <w:kern w:val="0"/>
          <w:sz w:val="28"/>
          <w:szCs w:val="21"/>
          <w:highlight w:val="none"/>
          <w:lang w:val="en-US" w:eastAsia="zh-CN" w:bidi="ar"/>
        </w:rPr>
        <w:t>要</w:t>
      </w:r>
      <w:r>
        <w:rPr>
          <w:rFonts w:hint="eastAsia" w:ascii="宋体" w:hAnsi="宋体" w:eastAsia="仿宋_GB2312" w:cs="宋体"/>
          <w:color w:val="auto"/>
          <w:kern w:val="0"/>
          <w:sz w:val="28"/>
          <w:szCs w:val="21"/>
          <w:highlight w:val="none"/>
          <w:lang w:val="en-US" w:eastAsia="zh-CN" w:bidi="ar"/>
        </w:rPr>
        <w:t>加强对项目实施的调研，提高实施方案编制精度，强化目标制定的准确性，确保绩效评价指标更精细化、准确化</w:t>
      </w:r>
      <w:r>
        <w:rPr>
          <w:rFonts w:hint="eastAsia" w:ascii="宋体" w:hAnsi="宋体" w:cs="宋体"/>
          <w:color w:val="auto"/>
          <w:kern w:val="0"/>
          <w:sz w:val="28"/>
          <w:szCs w:val="21"/>
          <w:highlight w:val="none"/>
          <w:lang w:val="en-US" w:eastAsia="zh-CN" w:bidi="ar"/>
        </w:rPr>
        <w:t>。</w:t>
      </w:r>
    </w:p>
    <w:p w14:paraId="04DDF72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2</w:t>
      </w:r>
      <w:r>
        <w:rPr>
          <w:rFonts w:hint="default" w:ascii="宋体" w:hAnsi="宋体" w:eastAsia="仿宋_GB2312" w:cs="宋体"/>
          <w:color w:val="auto"/>
          <w:kern w:val="0"/>
          <w:sz w:val="28"/>
          <w:szCs w:val="21"/>
          <w:highlight w:val="none"/>
          <w:lang w:val="zh-TW" w:eastAsia="zh-CN" w:bidi="ar"/>
        </w:rPr>
        <w:t>.</w:t>
      </w:r>
      <w:r>
        <w:rPr>
          <w:rFonts w:hint="eastAsia" w:ascii="宋体" w:hAnsi="宋体" w:eastAsia="仿宋_GB2312" w:cs="宋体"/>
          <w:color w:val="auto"/>
          <w:kern w:val="0"/>
          <w:sz w:val="28"/>
          <w:szCs w:val="21"/>
          <w:highlight w:val="none"/>
          <w:lang w:val="zh-TW" w:eastAsia="zh-CN" w:bidi="ar"/>
        </w:rPr>
        <w:t>预算绩效管理观念不深入。</w:t>
      </w:r>
      <w:r>
        <w:rPr>
          <w:rFonts w:hint="default" w:ascii="宋体" w:hAnsi="宋体" w:eastAsia="仿宋_GB2312" w:cs="宋体"/>
          <w:color w:val="auto"/>
          <w:kern w:val="0"/>
          <w:sz w:val="28"/>
          <w:szCs w:val="21"/>
          <w:highlight w:val="none"/>
          <w:lang w:val="zh-TW" w:eastAsia="zh-CN" w:bidi="ar"/>
        </w:rPr>
        <w:t>对这项工作的认识不充分，主要表现为：“重分配、轻管理；重支出、轻绩效”，在年初绩效目标申报和年终绩效自评工作中还不够准确、规范，一定程度上影响预算绩效评价整体质量。</w:t>
      </w:r>
    </w:p>
    <w:p w14:paraId="54308A7A">
      <w:pPr>
        <w:keepNext w:val="0"/>
        <w:keepLines w:val="0"/>
        <w:pageBreakBefore w:val="0"/>
        <w:widowControl w:val="0"/>
        <w:kinsoku/>
        <w:wordWrap/>
        <w:overflowPunct/>
        <w:topLinePunct w:val="0"/>
        <w:autoSpaceDE/>
        <w:autoSpaceDN/>
        <w:bidi w:val="0"/>
        <w:ind w:left="0" w:leftChars="0" w:firstLine="560" w:firstLineChars="200"/>
        <w:textAlignment w:val="auto"/>
        <w:rPr>
          <w:color w:val="auto"/>
          <w:highlight w:val="none"/>
          <w:lang w:bidi="ar"/>
        </w:rPr>
      </w:pPr>
      <w:r>
        <w:rPr>
          <w:rFonts w:hint="eastAsia" w:ascii="宋体" w:hAnsi="宋体" w:cs="宋体"/>
          <w:color w:val="auto"/>
          <w:kern w:val="0"/>
          <w:sz w:val="28"/>
          <w:szCs w:val="21"/>
          <w:highlight w:val="none"/>
          <w:lang w:val="en-US" w:eastAsia="zh-CN" w:bidi="ar"/>
        </w:rPr>
        <w:t>3.</w:t>
      </w:r>
      <w:r>
        <w:rPr>
          <w:rFonts w:hint="eastAsia" w:ascii="宋体" w:hAnsi="宋体" w:eastAsia="仿宋_GB2312" w:cs="宋体"/>
          <w:color w:val="auto"/>
          <w:kern w:val="0"/>
          <w:sz w:val="28"/>
          <w:szCs w:val="21"/>
          <w:highlight w:val="none"/>
          <w:lang w:val="zh-TW" w:eastAsia="zh-CN" w:bidi="ar"/>
        </w:rPr>
        <w:t>评价结果应用不充分。对预算绩效评价结果应用，当前主要停留在反映情况、发现问题、督促整改等方面，</w:t>
      </w:r>
      <w:r>
        <w:rPr>
          <w:rFonts w:hint="eastAsia" w:ascii="宋体" w:hAnsi="宋体" w:cs="宋体"/>
          <w:color w:val="auto"/>
          <w:kern w:val="0"/>
          <w:sz w:val="28"/>
          <w:szCs w:val="21"/>
          <w:highlight w:val="none"/>
          <w:lang w:val="en-US" w:eastAsia="zh-CN" w:bidi="ar"/>
        </w:rPr>
        <w:t>对</w:t>
      </w:r>
      <w:r>
        <w:rPr>
          <w:rFonts w:hint="eastAsia" w:ascii="宋体" w:hAnsi="宋体" w:eastAsia="仿宋_GB2312" w:cs="宋体"/>
          <w:color w:val="auto"/>
          <w:kern w:val="0"/>
          <w:sz w:val="28"/>
          <w:szCs w:val="21"/>
          <w:highlight w:val="none"/>
          <w:lang w:val="zh-TW" w:eastAsia="zh-CN" w:bidi="ar"/>
        </w:rPr>
        <w:t>落实整改措施不彻底现象依然存在。</w:t>
      </w:r>
    </w:p>
    <w:p w14:paraId="5939957F">
      <w:pPr>
        <w:pStyle w:val="4"/>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0360DC9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1.建立预算绩效管理制度，进一步完善预算编报、执行、监督和评价工作流程，落实绩效管理主体职责。建立健全项目支出绩效指标体系，为编制预算绩效目标及开展预算绩效评价提供指导及依据。</w:t>
      </w:r>
    </w:p>
    <w:p w14:paraId="043B3E8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强绩效目标管理，以绩效目标为导向，优化资源配置为目的，提高财政资金使用绩效。做到预算编制严谨、预算执行到位，进一步优化预算绩效指标体系，设置可量化可衡量的预算绩效指标，促使我单位预算绩效管理一体化。</w:t>
      </w:r>
    </w:p>
    <w:p w14:paraId="1F9AD2F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3.加强预算绩效管理业务学习及培训，提高业务人员绩效管理意识，进一步加强预算绩效管理工作，优化项目支出绩效指标体系，完善预算绩效管理制度，推动我单位</w:t>
      </w:r>
      <w:r>
        <w:rPr>
          <w:rFonts w:hint="eastAsia" w:ascii="宋体" w:hAnsi="宋体" w:cs="宋体"/>
          <w:color w:val="auto"/>
          <w:kern w:val="0"/>
          <w:sz w:val="28"/>
          <w:szCs w:val="21"/>
          <w:highlight w:val="none"/>
          <w:lang w:val="en-US" w:eastAsia="zh-CN" w:bidi="ar"/>
        </w:rPr>
        <w:t>2025</w:t>
      </w:r>
      <w:r>
        <w:rPr>
          <w:rFonts w:hint="eastAsia" w:ascii="宋体" w:hAnsi="宋体" w:eastAsia="仿宋_GB2312" w:cs="宋体"/>
          <w:color w:val="auto"/>
          <w:kern w:val="0"/>
          <w:sz w:val="28"/>
          <w:szCs w:val="21"/>
          <w:highlight w:val="none"/>
          <w:lang w:val="en-US" w:eastAsia="zh-CN" w:bidi="ar"/>
        </w:rPr>
        <w:t>年预算绩效管理工作常态化、规范化。</w:t>
      </w:r>
    </w:p>
    <w:p w14:paraId="613F11B0">
      <w:pPr>
        <w:pStyle w:val="4"/>
        <w:keepNext w:val="0"/>
        <w:pageBreakBefore w:val="0"/>
        <w:widowControl w:val="0"/>
        <w:kinsoku/>
        <w:wordWrap/>
        <w:overflowPunct/>
        <w:topLinePunct w:val="0"/>
        <w:autoSpaceDE/>
        <w:autoSpaceDN/>
        <w:bidi w:val="0"/>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keepNext w:val="0"/>
        <w:pageBreakBefore w:val="0"/>
        <w:widowControl w:val="0"/>
        <w:kinsoku/>
        <w:wordWrap/>
        <w:overflowPunct/>
        <w:topLinePunct w:val="0"/>
        <w:autoSpaceDE/>
        <w:autoSpaceDN/>
        <w:bidi w:val="0"/>
        <w:ind w:firstLine="560"/>
        <w:textAlignment w:val="auto"/>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4"/>
        <w:keepNext w:val="0"/>
        <w:pageBreakBefore w:val="0"/>
        <w:widowControl w:val="0"/>
        <w:kinsoku/>
        <w:wordWrap/>
        <w:overflowPunct/>
        <w:topLinePunct w:val="0"/>
        <w:autoSpaceDE/>
        <w:autoSpaceDN/>
        <w:bidi w:val="0"/>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0E6148DC">
      <w:pPr>
        <w:keepNext w:val="0"/>
        <w:pageBreakBefore w:val="0"/>
        <w:widowControl w:val="0"/>
        <w:kinsoku/>
        <w:wordWrap/>
        <w:overflowPunct/>
        <w:topLinePunct w:val="0"/>
        <w:autoSpaceDE/>
        <w:autoSpaceDN/>
        <w:bidi w:val="0"/>
        <w:ind w:firstLine="560"/>
        <w:textAlignment w:val="auto"/>
        <w:rPr>
          <w:color w:val="auto"/>
          <w:highlight w:val="none"/>
        </w:rPr>
      </w:pPr>
      <w:r>
        <w:rPr>
          <w:rFonts w:hint="eastAsia"/>
          <w:color w:val="auto"/>
          <w:highlight w:val="none"/>
          <w:lang w:val="en-US" w:eastAsia="zh-CN"/>
        </w:rPr>
        <w:t>附件1：项目支出绩效评价绩效评价体系</w:t>
      </w:r>
    </w:p>
    <w:p w14:paraId="0EB15E43">
      <w:pPr>
        <w:keepNext w:val="0"/>
        <w:pageBreakBefore w:val="0"/>
        <w:widowControl w:val="0"/>
        <w:kinsoku/>
        <w:wordWrap/>
        <w:overflowPunct/>
        <w:topLinePunct w:val="0"/>
        <w:autoSpaceDE/>
        <w:autoSpaceDN/>
        <w:bidi w:val="0"/>
        <w:ind w:firstLine="56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6"/>
        <w:keepNext w:val="0"/>
        <w:pageBreakBefore w:val="0"/>
        <w:widowControl w:val="0"/>
        <w:kinsoku/>
        <w:wordWrap/>
        <w:overflowPunct/>
        <w:topLinePunct w:val="0"/>
        <w:autoSpaceDE/>
        <w:autoSpaceDN/>
        <w:bidi w:val="0"/>
        <w:textAlignment w:val="auto"/>
        <w:rPr>
          <w:color w:val="auto"/>
          <w:highlight w:val="none"/>
        </w:rPr>
      </w:pPr>
    </w:p>
    <w:bookmarkEnd w:id="16"/>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pPr>
        <w:ind w:left="-83"/>
      </w:pPr>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8F0B1E"/>
    <w:rsid w:val="01E925F2"/>
    <w:rsid w:val="023615AF"/>
    <w:rsid w:val="03BB00BF"/>
    <w:rsid w:val="04FF572D"/>
    <w:rsid w:val="05CE4396"/>
    <w:rsid w:val="066F70AA"/>
    <w:rsid w:val="0708351A"/>
    <w:rsid w:val="09944CF1"/>
    <w:rsid w:val="099D6902"/>
    <w:rsid w:val="0A401CF1"/>
    <w:rsid w:val="0AD64679"/>
    <w:rsid w:val="0CB12375"/>
    <w:rsid w:val="0D537DC9"/>
    <w:rsid w:val="0D885E3E"/>
    <w:rsid w:val="0DAE2941"/>
    <w:rsid w:val="0DB13246"/>
    <w:rsid w:val="0DF4156F"/>
    <w:rsid w:val="0E5451B9"/>
    <w:rsid w:val="0E760F4E"/>
    <w:rsid w:val="0F095A37"/>
    <w:rsid w:val="0F9F0794"/>
    <w:rsid w:val="0FD82DB5"/>
    <w:rsid w:val="1103023A"/>
    <w:rsid w:val="118C0775"/>
    <w:rsid w:val="128D0D77"/>
    <w:rsid w:val="12F1313F"/>
    <w:rsid w:val="146D1091"/>
    <w:rsid w:val="1609105D"/>
    <w:rsid w:val="17AF7810"/>
    <w:rsid w:val="183D34A2"/>
    <w:rsid w:val="1A002E18"/>
    <w:rsid w:val="1A041D47"/>
    <w:rsid w:val="1A324FD3"/>
    <w:rsid w:val="1BEA0FE8"/>
    <w:rsid w:val="1C4A596B"/>
    <w:rsid w:val="1FDC50EC"/>
    <w:rsid w:val="20A2086D"/>
    <w:rsid w:val="20A32962"/>
    <w:rsid w:val="20B21A37"/>
    <w:rsid w:val="21817779"/>
    <w:rsid w:val="21A41209"/>
    <w:rsid w:val="23761F39"/>
    <w:rsid w:val="23C93BD9"/>
    <w:rsid w:val="23DD6465"/>
    <w:rsid w:val="245E1E24"/>
    <w:rsid w:val="256845EA"/>
    <w:rsid w:val="25A91CF5"/>
    <w:rsid w:val="25CE3729"/>
    <w:rsid w:val="26EF3957"/>
    <w:rsid w:val="289879A1"/>
    <w:rsid w:val="28A61969"/>
    <w:rsid w:val="28E60D8A"/>
    <w:rsid w:val="29C05630"/>
    <w:rsid w:val="2A053F0F"/>
    <w:rsid w:val="2A0C569A"/>
    <w:rsid w:val="2A5C3075"/>
    <w:rsid w:val="2B1F5779"/>
    <w:rsid w:val="2C103347"/>
    <w:rsid w:val="2CB201D5"/>
    <w:rsid w:val="2DC37189"/>
    <w:rsid w:val="2DFA2E97"/>
    <w:rsid w:val="2E483E7E"/>
    <w:rsid w:val="2EB04D8A"/>
    <w:rsid w:val="2FCE2953"/>
    <w:rsid w:val="2FDE37A9"/>
    <w:rsid w:val="30754091"/>
    <w:rsid w:val="30A64FB6"/>
    <w:rsid w:val="315B7BD0"/>
    <w:rsid w:val="332F7DDD"/>
    <w:rsid w:val="333F70F6"/>
    <w:rsid w:val="33944516"/>
    <w:rsid w:val="33FE342B"/>
    <w:rsid w:val="3522787D"/>
    <w:rsid w:val="35E63317"/>
    <w:rsid w:val="36185B49"/>
    <w:rsid w:val="36894F05"/>
    <w:rsid w:val="379F4CA9"/>
    <w:rsid w:val="386532D8"/>
    <w:rsid w:val="38CC7587"/>
    <w:rsid w:val="39D771DD"/>
    <w:rsid w:val="3A8B235A"/>
    <w:rsid w:val="3BB84807"/>
    <w:rsid w:val="3C494A2A"/>
    <w:rsid w:val="3C9E1AD1"/>
    <w:rsid w:val="3E04329F"/>
    <w:rsid w:val="3ED454B4"/>
    <w:rsid w:val="3FF84F74"/>
    <w:rsid w:val="402112BD"/>
    <w:rsid w:val="413E2617"/>
    <w:rsid w:val="41DE664A"/>
    <w:rsid w:val="426D5922"/>
    <w:rsid w:val="436832A6"/>
    <w:rsid w:val="446A2417"/>
    <w:rsid w:val="4491620A"/>
    <w:rsid w:val="451A123D"/>
    <w:rsid w:val="453445AA"/>
    <w:rsid w:val="453453BA"/>
    <w:rsid w:val="48E4152B"/>
    <w:rsid w:val="49DF11B1"/>
    <w:rsid w:val="4A777D38"/>
    <w:rsid w:val="4A94466D"/>
    <w:rsid w:val="4A996944"/>
    <w:rsid w:val="4B545786"/>
    <w:rsid w:val="4C3216AC"/>
    <w:rsid w:val="4D1C52E2"/>
    <w:rsid w:val="4D600BD3"/>
    <w:rsid w:val="4DDA5CC7"/>
    <w:rsid w:val="4E0F3F27"/>
    <w:rsid w:val="4E45678E"/>
    <w:rsid w:val="4E4A6D47"/>
    <w:rsid w:val="4EC15329"/>
    <w:rsid w:val="4F0C733E"/>
    <w:rsid w:val="4F733A2D"/>
    <w:rsid w:val="4F7D417A"/>
    <w:rsid w:val="4FB67747"/>
    <w:rsid w:val="4FD56C07"/>
    <w:rsid w:val="500656EA"/>
    <w:rsid w:val="511FF2A1"/>
    <w:rsid w:val="51640F5C"/>
    <w:rsid w:val="54C47CB2"/>
    <w:rsid w:val="55A5494A"/>
    <w:rsid w:val="56803BC3"/>
    <w:rsid w:val="56FD7960"/>
    <w:rsid w:val="59C02DAD"/>
    <w:rsid w:val="5AFF70F5"/>
    <w:rsid w:val="5B1433B1"/>
    <w:rsid w:val="5B1D04A1"/>
    <w:rsid w:val="5B27469B"/>
    <w:rsid w:val="5C0731FC"/>
    <w:rsid w:val="5CE21E8F"/>
    <w:rsid w:val="5E0A0A9B"/>
    <w:rsid w:val="5ECF2E97"/>
    <w:rsid w:val="5F9C5101"/>
    <w:rsid w:val="5FAD3ACF"/>
    <w:rsid w:val="618129F7"/>
    <w:rsid w:val="626F3307"/>
    <w:rsid w:val="62EE2619"/>
    <w:rsid w:val="64423BF2"/>
    <w:rsid w:val="653A5570"/>
    <w:rsid w:val="6626316D"/>
    <w:rsid w:val="66C919AE"/>
    <w:rsid w:val="66F91E37"/>
    <w:rsid w:val="67495F96"/>
    <w:rsid w:val="68291A1A"/>
    <w:rsid w:val="691B1594"/>
    <w:rsid w:val="69A50B98"/>
    <w:rsid w:val="69BD5A21"/>
    <w:rsid w:val="6ACE22AC"/>
    <w:rsid w:val="6CBF6EF4"/>
    <w:rsid w:val="6F0D6C22"/>
    <w:rsid w:val="6FD57E76"/>
    <w:rsid w:val="6FF06988"/>
    <w:rsid w:val="70DF36C1"/>
    <w:rsid w:val="71801FA8"/>
    <w:rsid w:val="72B05F6E"/>
    <w:rsid w:val="737361D7"/>
    <w:rsid w:val="73F727AA"/>
    <w:rsid w:val="74370315"/>
    <w:rsid w:val="745F5557"/>
    <w:rsid w:val="74B60DFD"/>
    <w:rsid w:val="76C21ABB"/>
    <w:rsid w:val="76D2301A"/>
    <w:rsid w:val="774329A8"/>
    <w:rsid w:val="77861774"/>
    <w:rsid w:val="77BE5AED"/>
    <w:rsid w:val="77C253BD"/>
    <w:rsid w:val="79300B45"/>
    <w:rsid w:val="79A17504"/>
    <w:rsid w:val="79FF3433"/>
    <w:rsid w:val="7AB73395"/>
    <w:rsid w:val="7B686778"/>
    <w:rsid w:val="7BCE4A5E"/>
    <w:rsid w:val="7E617414"/>
    <w:rsid w:val="7F771CAF"/>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First Indent"/>
    <w:basedOn w:val="2"/>
    <w:unhideWhenUsed/>
    <w:qFormat/>
    <w:uiPriority w:val="99"/>
    <w:pPr>
      <w:spacing w:beforeLines="0" w:afterLines="0"/>
      <w:ind w:firstLine="420" w:firstLineChars="100"/>
    </w:pPr>
    <w:rPr>
      <w:rFonts w:hint="eastAsia"/>
      <w:sz w:val="21"/>
      <w:szCs w:val="24"/>
    </w:rPr>
  </w:style>
  <w:style w:type="paragraph" w:styleId="7">
    <w:name w:val="annotation text"/>
    <w:basedOn w:val="1"/>
    <w:qFormat/>
    <w:uiPriority w:val="0"/>
    <w:pPr>
      <w:jc w:val="left"/>
    </w:pPr>
  </w:style>
  <w:style w:type="paragraph" w:styleId="8">
    <w:name w:val="Balloon Text"/>
    <w:basedOn w:val="1"/>
    <w:link w:val="23"/>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11308</Words>
  <Characters>11932</Characters>
  <Lines>71</Lines>
  <Paragraphs>20</Paragraphs>
  <TotalTime>0</TotalTime>
  <ScaleCrop>false</ScaleCrop>
  <LinksUpToDate>false</LinksUpToDate>
  <CharactersWithSpaces>11936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2025-05-20T14:07:00Z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